
<file path=[Content_Types].xml><?xml version="1.0" encoding="utf-8"?>
<Types xmlns="http://schemas.openxmlformats.org/package/2006/content-types">
  <Default Extension="xml" ContentType="application/xml"/>
  <Default Extension="xlsx" ContentType="application/vnd.openxmlformats-officedocument.spreadsheetml.sheet"/>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10.xml" ContentType="application/vnd.openxmlformats-officedocument.drawingml.chart+xml"/>
  <Override PartName="/word/charts/chart11.xml" ContentType="application/vnd.openxmlformats-officedocument.drawingml.chart+xml"/>
  <Override PartName="/word/charts/chart12.xml" ContentType="application/vnd.openxmlformats-officedocument.drawingml.chart+xml"/>
  <Override PartName="/word/charts/chart13.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charts/chart8.xml" ContentType="application/vnd.openxmlformats-officedocument.drawingml.chart+xml"/>
  <Override PartName="/word/charts/chart9.xml" ContentType="application/vnd.openxmlformats-officedocument.drawingml.chart+xml"/>
  <Override PartName="/word/charts/colors1.xml" ContentType="application/vnd.ms-office.chartcolorstyle+xml"/>
  <Override PartName="/word/charts/colors2.xml" ContentType="application/vnd.ms-office.chartcolorstyle+xml"/>
  <Override PartName="/word/charts/style1.xml" ContentType="application/vnd.ms-office.chartstyle+xml"/>
  <Override PartName="/word/charts/style2.xml" ContentType="application/vnd.ms-office.chartstyle+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
        <w:spacing w:line="288" w:lineRule="auto"/>
        <w:jc w:val="center"/>
        <w:rPr>
          <w:rFonts w:ascii="Cambria" w:hAnsi="Cambria" w:cs="Times New Roman"/>
          <w:b/>
          <w:bCs/>
          <w:lang w:val="en-US"/>
        </w:rPr>
      </w:pPr>
      <w:r>
        <w:rPr>
          <w:rFonts w:ascii="Cambria" w:hAnsi="Cambria" w:cs="Times New Roman"/>
          <w:b/>
          <w:bCs/>
        </w:rPr>
        <w:t xml:space="preserve">BAB II </w:t>
      </w:r>
    </w:p>
    <w:p>
      <w:pPr>
        <w:pStyle w:val="10"/>
        <w:spacing w:line="288" w:lineRule="auto"/>
        <w:jc w:val="center"/>
        <w:rPr>
          <w:rFonts w:ascii="Cambria" w:hAnsi="Cambria" w:cs="Times New Roman"/>
          <w:b/>
          <w:bCs/>
        </w:rPr>
      </w:pPr>
      <w:r>
        <w:rPr>
          <w:rFonts w:ascii="Cambria" w:hAnsi="Cambria" w:cs="Times New Roman"/>
          <w:b/>
          <w:bCs/>
        </w:rPr>
        <w:t xml:space="preserve">GAMBARAN PELAYANAN </w:t>
      </w:r>
    </w:p>
    <w:p>
      <w:pPr>
        <w:pStyle w:val="10"/>
        <w:spacing w:line="288" w:lineRule="auto"/>
        <w:jc w:val="center"/>
        <w:rPr>
          <w:rFonts w:ascii="Cambria" w:hAnsi="Cambria" w:cs="Times New Roman"/>
          <w:b/>
          <w:bCs/>
        </w:rPr>
      </w:pPr>
      <w:r>
        <w:rPr>
          <w:rFonts w:ascii="Cambria" w:hAnsi="Cambria" w:cs="Times New Roman"/>
          <w:b/>
          <w:bCs/>
        </w:rPr>
        <w:t>BIRO ADMINISTRASI PENGADAAN DAN PENGELOLAAN BARANG MILIK DAERAH</w:t>
      </w:r>
    </w:p>
    <w:p>
      <w:pPr>
        <w:pStyle w:val="10"/>
        <w:spacing w:line="288" w:lineRule="auto"/>
        <w:rPr>
          <w:rFonts w:ascii="Cambria" w:hAnsi="Cambria" w:cs="Times New Roman"/>
          <w:b/>
          <w:bCs/>
          <w:sz w:val="22"/>
          <w:szCs w:val="22"/>
        </w:rPr>
      </w:pPr>
    </w:p>
    <w:p>
      <w:pPr>
        <w:pStyle w:val="10"/>
        <w:spacing w:line="288" w:lineRule="auto"/>
        <w:rPr>
          <w:rFonts w:ascii="Cambria" w:hAnsi="Cambria" w:cs="Times New Roman"/>
          <w:sz w:val="22"/>
          <w:szCs w:val="22"/>
        </w:rPr>
      </w:pPr>
      <w:r>
        <w:rPr>
          <w:rFonts w:ascii="Cambria" w:hAnsi="Cambria" w:cs="Times New Roman"/>
          <w:b/>
          <w:bCs/>
          <w:sz w:val="22"/>
          <w:szCs w:val="22"/>
        </w:rPr>
        <w:t xml:space="preserve">2.1 Tugas, Fungsi, dan Struktur Organisasi </w:t>
      </w:r>
    </w:p>
    <w:p>
      <w:pPr>
        <w:pStyle w:val="10"/>
        <w:spacing w:before="120" w:line="276" w:lineRule="auto"/>
        <w:ind w:firstLine="720"/>
        <w:jc w:val="both"/>
        <w:rPr>
          <w:rFonts w:ascii="Cambria" w:hAnsi="Cambria" w:cs="Times New Roman"/>
          <w:sz w:val="22"/>
          <w:szCs w:val="22"/>
        </w:rPr>
      </w:pPr>
      <w:r>
        <w:rPr>
          <w:rFonts w:ascii="Cambria" w:hAnsi="Cambria" w:cs="Times New Roman"/>
          <w:sz w:val="22"/>
          <w:szCs w:val="22"/>
        </w:rPr>
        <w:t xml:space="preserve">Biro Administrasi Pengadaan dan Pengelolaan Barang Milik Daerah dibentuk </w:t>
      </w:r>
      <w:r>
        <w:rPr>
          <w:rFonts w:ascii="Cambria" w:hAnsi="Cambria" w:cs="Times New Roman"/>
          <w:sz w:val="22"/>
          <w:szCs w:val="22"/>
          <w:lang w:val="en-US"/>
        </w:rPr>
        <w:t xml:space="preserve">sesuai </w:t>
      </w:r>
      <w:r>
        <w:rPr>
          <w:rFonts w:ascii="Cambria" w:hAnsi="Cambria" w:cs="Times New Roman"/>
          <w:sz w:val="22"/>
          <w:szCs w:val="22"/>
        </w:rPr>
        <w:t xml:space="preserve">ketentuan Peraturan Pemerintah Nomor 18 Tahun 2016 tentang Perangkat Daerah. Peraturan Pemerintah tersebut kemudian ditindaklanjuti dengan Peraturan Daerah </w:t>
      </w:r>
      <w:r>
        <w:rPr>
          <w:rFonts w:ascii="Cambria" w:hAnsi="Cambria" w:cs="Times New Roman"/>
          <w:color w:val="auto"/>
          <w:sz w:val="22"/>
          <w:szCs w:val="22"/>
        </w:rPr>
        <w:t xml:space="preserve">Provinsi Sumatera Barat Nomor 8 Tahun 2016 tentang </w:t>
      </w:r>
      <w:r>
        <w:rPr>
          <w:rFonts w:ascii="Cambria" w:hAnsi="Cambria" w:cs="Times New Roman"/>
          <w:color w:val="auto"/>
          <w:sz w:val="22"/>
          <w:szCs w:val="22"/>
          <w:lang w:val="en-US"/>
        </w:rPr>
        <w:t>Pembentukan dan Susunan Perangkat Daerah</w:t>
      </w:r>
      <w:r>
        <w:rPr>
          <w:rFonts w:ascii="Cambria" w:hAnsi="Cambria" w:cs="Times New Roman"/>
          <w:color w:val="auto"/>
          <w:sz w:val="22"/>
          <w:szCs w:val="22"/>
        </w:rPr>
        <w:t>.</w:t>
      </w:r>
      <w:r>
        <w:rPr>
          <w:rFonts w:ascii="Cambria" w:hAnsi="Cambria" w:cs="Times New Roman"/>
          <w:color w:val="auto"/>
          <w:sz w:val="22"/>
          <w:szCs w:val="22"/>
          <w:lang w:val="en-US"/>
        </w:rPr>
        <w:t xml:space="preserve"> </w:t>
      </w:r>
      <w:r>
        <w:rPr>
          <w:rFonts w:ascii="Cambria" w:hAnsi="Cambria" w:cs="Times New Roman"/>
          <w:color w:val="auto"/>
          <w:sz w:val="22"/>
          <w:szCs w:val="22"/>
        </w:rPr>
        <w:t xml:space="preserve">Berdasarkan Peraturan Gubernur Sumatera Barat Nomor 116 Tahun 2017 tentang </w:t>
      </w:r>
      <w:r>
        <w:rPr>
          <w:rFonts w:ascii="Cambria" w:hAnsi="Cambria"/>
          <w:sz w:val="22"/>
          <w:szCs w:val="22"/>
        </w:rPr>
        <w:t>Perubahan Kedua Atas Peraturan Gubernur Sumatera Barat Nomor 68 Tahun 2016 tentang Kedudukan, Susunan Organisasi, Tugas dan Fungsi serta Tata Kerja Sekretariat Daerah Provinsi Sumatera Barat</w:t>
      </w:r>
      <w:r>
        <w:rPr>
          <w:rFonts w:hint="default" w:ascii="Cambria" w:hAnsi="Cambria"/>
          <w:sz w:val="22"/>
          <w:szCs w:val="22"/>
        </w:rPr>
        <w:t xml:space="preserve"> dan Peraturan Gubernur Sumatera Barat Nomor 69 Tahun 2018 tentang Uraian Tugas Pokok dan Fungsi Sekretariat Daerah Provinsi Sumatera Barat</w:t>
      </w:r>
      <w:r>
        <w:rPr>
          <w:rFonts w:ascii="Cambria" w:hAnsi="Cambria" w:cs="Times New Roman"/>
          <w:color w:val="auto"/>
          <w:sz w:val="22"/>
          <w:szCs w:val="22"/>
        </w:rPr>
        <w:t xml:space="preserve">, </w:t>
      </w:r>
      <w:r>
        <w:rPr>
          <w:rFonts w:ascii="Cambria" w:hAnsi="Cambria" w:cs="Times New Roman"/>
          <w:sz w:val="22"/>
          <w:szCs w:val="22"/>
        </w:rPr>
        <w:t xml:space="preserve">Biro Administrasi Pengadaan dan Pengelolaan Barang Milik Daerah mempunyai tugas pokok menyelenggarakan perumusan kebijakan </w:t>
      </w:r>
      <w:r>
        <w:rPr>
          <w:rFonts w:hint="default" w:ascii="Cambria" w:hAnsi="Cambria" w:cs="Times New Roman"/>
          <w:sz w:val="22"/>
          <w:szCs w:val="22"/>
        </w:rPr>
        <w:t>daerah  terkait barang milik daerah dan pengadaan barang dan jasa serta melaksanakan</w:t>
      </w:r>
      <w:r>
        <w:rPr>
          <w:rFonts w:ascii="Cambria" w:hAnsi="Cambria" w:cs="Times New Roman"/>
          <w:sz w:val="22"/>
          <w:szCs w:val="22"/>
        </w:rPr>
        <w:t xml:space="preserve"> koordinasi, fasilitasi, pelaporan pelaksanaan </w:t>
      </w:r>
      <w:r>
        <w:rPr>
          <w:rFonts w:hint="default" w:ascii="Cambria" w:hAnsi="Cambria" w:cs="Times New Roman"/>
          <w:sz w:val="22"/>
          <w:szCs w:val="22"/>
        </w:rPr>
        <w:t>perencanaan, pembinaan dan pengelolaan barang milik daerah serta penyelenggaraan layanan</w:t>
      </w:r>
      <w:r>
        <w:rPr>
          <w:rFonts w:ascii="Cambria" w:hAnsi="Cambria" w:cs="Times New Roman"/>
          <w:sz w:val="22"/>
          <w:szCs w:val="22"/>
        </w:rPr>
        <w:t xml:space="preserve"> pengadaan barang dan jasa. </w:t>
      </w:r>
    </w:p>
    <w:p>
      <w:pPr>
        <w:pStyle w:val="10"/>
        <w:spacing w:before="120" w:line="276" w:lineRule="auto"/>
        <w:ind w:firstLine="720"/>
        <w:jc w:val="both"/>
        <w:rPr>
          <w:rFonts w:ascii="Cambria" w:hAnsi="Cambria" w:cs="Times New Roman"/>
          <w:sz w:val="22"/>
          <w:szCs w:val="22"/>
        </w:rPr>
      </w:pPr>
      <w:r>
        <w:rPr>
          <w:rFonts w:ascii="Cambria" w:hAnsi="Cambria" w:cs="Times New Roman"/>
          <w:sz w:val="22"/>
          <w:szCs w:val="22"/>
        </w:rPr>
        <w:t>Dalam menyelenggarakan tugas pokok, Biro Administrasi Pengadaan dan Pengelolaan Barang Milik Daerah</w:t>
      </w:r>
      <w:r>
        <w:rPr>
          <w:rFonts w:ascii="Cambria" w:hAnsi="Cambria" w:cs="Times New Roman"/>
          <w:sz w:val="22"/>
          <w:szCs w:val="22"/>
          <w:lang w:val="en-US"/>
        </w:rPr>
        <w:t xml:space="preserve"> </w:t>
      </w:r>
      <w:r>
        <w:rPr>
          <w:rFonts w:ascii="Cambria" w:hAnsi="Cambria" w:cs="Times New Roman"/>
          <w:sz w:val="22"/>
          <w:szCs w:val="22"/>
        </w:rPr>
        <w:t xml:space="preserve">mempunyai fungsi </w:t>
      </w:r>
      <w:r>
        <w:rPr>
          <w:rFonts w:ascii="Cambria" w:hAnsi="Cambria" w:cs="Times New Roman"/>
          <w:sz w:val="22"/>
          <w:szCs w:val="22"/>
          <w:lang w:val="en-US"/>
        </w:rPr>
        <w:t>sebagai berikut</w:t>
      </w:r>
      <w:r>
        <w:rPr>
          <w:rFonts w:ascii="Cambria" w:hAnsi="Cambria" w:cs="Times New Roman"/>
          <w:sz w:val="22"/>
          <w:szCs w:val="22"/>
        </w:rPr>
        <w:t xml:space="preserve"> :</w:t>
      </w:r>
    </w:p>
    <w:p>
      <w:pPr>
        <w:pStyle w:val="10"/>
        <w:numPr>
          <w:ilvl w:val="0"/>
          <w:numId w:val="1"/>
        </w:numPr>
        <w:spacing w:line="276" w:lineRule="auto"/>
        <w:ind w:left="426" w:hanging="426"/>
        <w:jc w:val="both"/>
        <w:rPr>
          <w:rFonts w:ascii="Cambria" w:hAnsi="Cambria" w:cs="Times New Roman"/>
          <w:sz w:val="22"/>
          <w:szCs w:val="22"/>
        </w:rPr>
      </w:pPr>
      <w:r>
        <w:rPr>
          <w:rFonts w:ascii="Cambria" w:hAnsi="Cambria" w:cs="Times New Roman"/>
          <w:sz w:val="22"/>
          <w:szCs w:val="22"/>
        </w:rPr>
        <w:t xml:space="preserve">Penyelenggaraan perumusan kebijakan </w:t>
      </w:r>
      <w:r>
        <w:rPr>
          <w:rFonts w:hint="default" w:ascii="Cambria" w:hAnsi="Cambria" w:cs="Times New Roman"/>
          <w:sz w:val="22"/>
          <w:szCs w:val="22"/>
        </w:rPr>
        <w:t>daerah di bidang perencanaan, pembinaan dan pengelolaan barang milik daerah serta pengadaan barang dan jasa</w:t>
      </w:r>
      <w:r>
        <w:rPr>
          <w:rFonts w:ascii="Cambria" w:hAnsi="Cambria" w:cs="Times New Roman"/>
          <w:sz w:val="22"/>
          <w:szCs w:val="22"/>
        </w:rPr>
        <w:t xml:space="preserve">; </w:t>
      </w:r>
    </w:p>
    <w:p>
      <w:pPr>
        <w:pStyle w:val="10"/>
        <w:numPr>
          <w:ilvl w:val="0"/>
          <w:numId w:val="1"/>
        </w:numPr>
        <w:spacing w:line="276" w:lineRule="auto"/>
        <w:ind w:left="426" w:hanging="426"/>
        <w:jc w:val="both"/>
        <w:rPr>
          <w:rFonts w:ascii="Cambria" w:hAnsi="Cambria" w:cs="Times New Roman"/>
          <w:sz w:val="22"/>
          <w:szCs w:val="22"/>
        </w:rPr>
      </w:pPr>
      <w:r>
        <w:rPr>
          <w:rFonts w:ascii="Cambria" w:hAnsi="Cambria" w:cs="Times New Roman"/>
          <w:sz w:val="22"/>
          <w:szCs w:val="22"/>
        </w:rPr>
        <w:t xml:space="preserve">Penyelenggaraan </w:t>
      </w:r>
      <w:r>
        <w:rPr>
          <w:rFonts w:hint="default" w:ascii="Cambria" w:hAnsi="Cambria" w:cs="Times New Roman"/>
          <w:sz w:val="22"/>
          <w:szCs w:val="22"/>
        </w:rPr>
        <w:t xml:space="preserve">perencanaan, pembinaan dan pengelolaan barang milik daerah serta </w:t>
      </w:r>
      <w:r>
        <w:rPr>
          <w:rFonts w:ascii="Cambria" w:hAnsi="Cambria" w:cs="Times New Roman"/>
          <w:sz w:val="22"/>
          <w:szCs w:val="22"/>
        </w:rPr>
        <w:t>pengadaan barang dan jasa; dan</w:t>
      </w:r>
    </w:p>
    <w:p>
      <w:pPr>
        <w:pStyle w:val="10"/>
        <w:numPr>
          <w:ilvl w:val="0"/>
          <w:numId w:val="1"/>
        </w:numPr>
        <w:spacing w:line="276" w:lineRule="auto"/>
        <w:ind w:left="426" w:hanging="426"/>
        <w:jc w:val="both"/>
        <w:rPr>
          <w:rFonts w:ascii="Cambria" w:hAnsi="Cambria" w:cs="Times New Roman"/>
          <w:sz w:val="22"/>
          <w:szCs w:val="22"/>
        </w:rPr>
      </w:pPr>
      <w:r>
        <w:rPr>
          <w:rFonts w:ascii="Cambria" w:hAnsi="Cambria" w:cs="Times New Roman"/>
          <w:sz w:val="22"/>
          <w:szCs w:val="22"/>
        </w:rPr>
        <w:t xml:space="preserve">Penyelenggaraan pelaporan dan evaluasi </w:t>
      </w:r>
      <w:r>
        <w:rPr>
          <w:rFonts w:hint="default" w:ascii="Cambria" w:hAnsi="Cambria" w:cs="Times New Roman"/>
          <w:sz w:val="22"/>
          <w:szCs w:val="22"/>
        </w:rPr>
        <w:t>pelaksanaan kebijakan di bidang perencanaan</w:t>
      </w:r>
      <w:r>
        <w:rPr>
          <w:rFonts w:ascii="Cambria" w:hAnsi="Cambria" w:cs="Times New Roman"/>
          <w:sz w:val="22"/>
          <w:szCs w:val="22"/>
        </w:rPr>
        <w:t>,</w:t>
      </w:r>
      <w:r>
        <w:rPr>
          <w:rFonts w:hint="default" w:ascii="Cambria" w:hAnsi="Cambria" w:cs="Times New Roman"/>
          <w:sz w:val="22"/>
          <w:szCs w:val="22"/>
        </w:rPr>
        <w:t xml:space="preserve"> pembinaan dan </w:t>
      </w:r>
      <w:r>
        <w:rPr>
          <w:rFonts w:ascii="Cambria" w:hAnsi="Cambria" w:cs="Times New Roman"/>
          <w:sz w:val="22"/>
          <w:szCs w:val="22"/>
        </w:rPr>
        <w:t>pengelolaan barang milik daerah</w:t>
      </w:r>
      <w:r>
        <w:rPr>
          <w:rFonts w:hint="default" w:ascii="Cambria" w:hAnsi="Cambria" w:cs="Times New Roman"/>
          <w:sz w:val="22"/>
          <w:szCs w:val="22"/>
        </w:rPr>
        <w:t xml:space="preserve"> serta</w:t>
      </w:r>
      <w:r>
        <w:rPr>
          <w:rFonts w:ascii="Cambria" w:hAnsi="Cambria" w:cs="Times New Roman"/>
          <w:sz w:val="22"/>
          <w:szCs w:val="22"/>
        </w:rPr>
        <w:t xml:space="preserve"> pengadaan barang dan jasa.</w:t>
      </w:r>
    </w:p>
    <w:p>
      <w:pPr>
        <w:pStyle w:val="10"/>
        <w:spacing w:line="276" w:lineRule="auto"/>
        <w:ind w:left="426"/>
        <w:jc w:val="both"/>
        <w:rPr>
          <w:rFonts w:ascii="Cambria" w:hAnsi="Cambria" w:cs="Times New Roman"/>
          <w:sz w:val="22"/>
          <w:szCs w:val="22"/>
        </w:rPr>
      </w:pPr>
    </w:p>
    <w:p>
      <w:pPr>
        <w:spacing w:after="120" w:line="276" w:lineRule="auto"/>
        <w:ind w:firstLine="720"/>
        <w:jc w:val="both"/>
        <w:rPr>
          <w:rFonts w:ascii="Cambria" w:hAnsi="Cambria"/>
        </w:rPr>
      </w:pPr>
      <w:r>
        <w:rPr>
          <w:rFonts w:ascii="Cambria" w:hAnsi="Cambria"/>
        </w:rPr>
        <w:t>Biro Administrasi Pengadaan dan Pengelolaan Barang Milik Daerah dalam pelaksanaan tugas sehari-harinya mempunyai rincian tugas meliputi :</w:t>
      </w:r>
    </w:p>
    <w:p>
      <w:pPr>
        <w:pStyle w:val="15"/>
        <w:numPr>
          <w:ilvl w:val="0"/>
          <w:numId w:val="2"/>
        </w:numPr>
        <w:spacing w:after="120" w:line="276" w:lineRule="auto"/>
        <w:ind w:left="426" w:hanging="426"/>
        <w:jc w:val="both"/>
        <w:rPr>
          <w:rFonts w:ascii="Cambria" w:hAnsi="Cambria"/>
        </w:rPr>
      </w:pPr>
      <w:r>
        <w:rPr>
          <w:rFonts w:ascii="Cambria" w:hAnsi="Cambria"/>
        </w:rPr>
        <w:t>Menyelenggarakan p</w:t>
      </w:r>
      <w:r>
        <w:rPr>
          <w:rFonts w:hint="default" w:ascii="Cambria" w:hAnsi="Cambria"/>
        </w:rPr>
        <w:t>enyusunan kebijakan daerah di bidang b</w:t>
      </w:r>
      <w:r>
        <w:rPr>
          <w:rFonts w:ascii="Cambria" w:hAnsi="Cambria"/>
        </w:rPr>
        <w:t xml:space="preserve">arang </w:t>
      </w:r>
      <w:r>
        <w:rPr>
          <w:rFonts w:hint="default" w:ascii="Cambria" w:hAnsi="Cambria"/>
        </w:rPr>
        <w:t>m</w:t>
      </w:r>
      <w:r>
        <w:rPr>
          <w:rFonts w:ascii="Cambria" w:hAnsi="Cambria"/>
        </w:rPr>
        <w:t xml:space="preserve">ilik </w:t>
      </w:r>
      <w:r>
        <w:rPr>
          <w:rFonts w:hint="default" w:ascii="Cambria" w:hAnsi="Cambria"/>
        </w:rPr>
        <w:t>d</w:t>
      </w:r>
      <w:r>
        <w:rPr>
          <w:rFonts w:ascii="Cambria" w:hAnsi="Cambria"/>
        </w:rPr>
        <w:t>aerah</w:t>
      </w:r>
      <w:r>
        <w:rPr>
          <w:rFonts w:hint="default" w:ascii="Cambria" w:hAnsi="Cambria"/>
        </w:rPr>
        <w:t xml:space="preserve"> dan </w:t>
      </w:r>
      <w:r>
        <w:rPr>
          <w:rFonts w:ascii="Cambria" w:hAnsi="Cambria" w:cs="Times New Roman"/>
          <w:sz w:val="22"/>
          <w:szCs w:val="22"/>
        </w:rPr>
        <w:t>pengadaan barang dan jasa</w:t>
      </w:r>
      <w:r>
        <w:rPr>
          <w:rFonts w:ascii="Cambria" w:hAnsi="Cambria"/>
        </w:rPr>
        <w:t>;</w:t>
      </w:r>
    </w:p>
    <w:p>
      <w:pPr>
        <w:pStyle w:val="15"/>
        <w:numPr>
          <w:ilvl w:val="0"/>
          <w:numId w:val="2"/>
        </w:numPr>
        <w:spacing w:after="120" w:line="276" w:lineRule="auto"/>
        <w:ind w:left="426" w:hanging="426"/>
        <w:jc w:val="both"/>
        <w:rPr>
          <w:rFonts w:ascii="Cambria" w:hAnsi="Cambria"/>
        </w:rPr>
      </w:pPr>
      <w:r>
        <w:rPr>
          <w:rFonts w:ascii="Cambria" w:hAnsi="Cambria"/>
        </w:rPr>
        <w:t xml:space="preserve">Menyelenggarakan koordinasi dan fasilitasi </w:t>
      </w:r>
      <w:r>
        <w:rPr>
          <w:rFonts w:hint="default" w:ascii="Cambria" w:hAnsi="Cambria"/>
        </w:rPr>
        <w:t xml:space="preserve">dalam pelaksanaan </w:t>
      </w:r>
      <w:r>
        <w:rPr>
          <w:rFonts w:hint="default" w:ascii="Cambria" w:hAnsi="Cambria" w:cs="Times New Roman"/>
          <w:sz w:val="22"/>
          <w:szCs w:val="22"/>
        </w:rPr>
        <w:t>perencanaan, pembinaan dan pengelolaan barang milik daerah serta layanan pengadaan barang dan jasa</w:t>
      </w:r>
      <w:r>
        <w:rPr>
          <w:rFonts w:ascii="Cambria" w:hAnsi="Cambria"/>
        </w:rPr>
        <w:t>;</w:t>
      </w:r>
    </w:p>
    <w:p>
      <w:pPr>
        <w:pStyle w:val="15"/>
        <w:numPr>
          <w:ilvl w:val="0"/>
          <w:numId w:val="2"/>
        </w:numPr>
        <w:spacing w:after="120" w:line="276" w:lineRule="auto"/>
        <w:ind w:left="426" w:hanging="426"/>
        <w:jc w:val="both"/>
        <w:rPr>
          <w:rFonts w:ascii="Cambria" w:hAnsi="Cambria"/>
        </w:rPr>
      </w:pPr>
      <w:r>
        <w:rPr>
          <w:rFonts w:ascii="Cambria" w:hAnsi="Cambria"/>
        </w:rPr>
        <w:t xml:space="preserve">Menyelenggarakan </w:t>
      </w:r>
      <w:r>
        <w:rPr>
          <w:rFonts w:hint="default" w:ascii="Cambria" w:hAnsi="Cambria" w:cs="Times New Roman"/>
          <w:sz w:val="22"/>
          <w:szCs w:val="22"/>
        </w:rPr>
        <w:t>perencanaan dan</w:t>
      </w:r>
      <w:r>
        <w:rPr>
          <w:rFonts w:ascii="Cambria" w:hAnsi="Cambria"/>
        </w:rPr>
        <w:t xml:space="preserve"> pengadaan barang dan jasa</w:t>
      </w:r>
      <w:r>
        <w:rPr>
          <w:rFonts w:hint="default" w:ascii="Cambria" w:hAnsi="Cambria"/>
        </w:rPr>
        <w:t>;</w:t>
      </w:r>
    </w:p>
    <w:p>
      <w:pPr>
        <w:pStyle w:val="15"/>
        <w:numPr>
          <w:ilvl w:val="0"/>
          <w:numId w:val="2"/>
        </w:numPr>
        <w:spacing w:after="120" w:line="276" w:lineRule="auto"/>
        <w:ind w:left="426" w:hanging="426"/>
        <w:jc w:val="both"/>
        <w:rPr>
          <w:rFonts w:ascii="Cambria" w:hAnsi="Cambria"/>
        </w:rPr>
      </w:pPr>
      <w:r>
        <w:rPr>
          <w:rFonts w:ascii="Cambria" w:hAnsi="Cambria"/>
        </w:rPr>
        <w:t>Menyelenggarakan</w:t>
      </w:r>
      <w:r>
        <w:rPr>
          <w:rFonts w:hint="default" w:ascii="Cambria" w:hAnsi="Cambria"/>
        </w:rPr>
        <w:t xml:space="preserve"> pembinaan barang milik daerah</w:t>
      </w:r>
      <w:r>
        <w:rPr>
          <w:rFonts w:ascii="Cambria" w:hAnsi="Cambria"/>
        </w:rPr>
        <w:t>;</w:t>
      </w:r>
    </w:p>
    <w:p>
      <w:pPr>
        <w:pStyle w:val="15"/>
        <w:numPr>
          <w:ilvl w:val="0"/>
          <w:numId w:val="2"/>
        </w:numPr>
        <w:spacing w:after="120" w:line="276" w:lineRule="auto"/>
        <w:ind w:left="426" w:hanging="426"/>
        <w:jc w:val="both"/>
        <w:rPr>
          <w:rFonts w:ascii="Cambria" w:hAnsi="Cambria"/>
        </w:rPr>
      </w:pPr>
      <w:r>
        <w:rPr>
          <w:rFonts w:ascii="Cambria" w:hAnsi="Cambria"/>
        </w:rPr>
        <w:t xml:space="preserve">Menyelenggarakan </w:t>
      </w:r>
      <w:r>
        <w:rPr>
          <w:rFonts w:hint="default" w:ascii="Cambria" w:hAnsi="Cambria"/>
        </w:rPr>
        <w:t xml:space="preserve">pengelolaan barang milik daerah yang meliputi penatausahaan barang milik daerah, pemanfaatan barang milik daerah dan perubahan status hukum barang milik </w:t>
      </w:r>
      <w:r>
        <w:rPr>
          <w:rFonts w:ascii="Cambria" w:hAnsi="Cambria"/>
        </w:rPr>
        <w:t>;</w:t>
      </w:r>
    </w:p>
    <w:p>
      <w:pPr>
        <w:pStyle w:val="15"/>
        <w:numPr>
          <w:ilvl w:val="0"/>
          <w:numId w:val="2"/>
        </w:numPr>
        <w:spacing w:after="120" w:line="276" w:lineRule="auto"/>
        <w:ind w:left="426" w:hanging="426"/>
        <w:jc w:val="both"/>
        <w:rPr>
          <w:rFonts w:ascii="Cambria" w:hAnsi="Cambria"/>
        </w:rPr>
      </w:pPr>
      <w:r>
        <w:rPr>
          <w:rFonts w:ascii="Cambria" w:hAnsi="Cambria"/>
        </w:rPr>
        <w:t>Menyelenggarakan</w:t>
      </w:r>
      <w:r>
        <w:rPr>
          <w:rFonts w:hint="default" w:ascii="Cambria" w:hAnsi="Cambria" w:cs="Times New Roman"/>
          <w:sz w:val="22"/>
          <w:szCs w:val="22"/>
        </w:rPr>
        <w:t xml:space="preserve"> layanan pengadaan barang dan jasa</w:t>
      </w:r>
      <w:r>
        <w:rPr>
          <w:rFonts w:ascii="Cambria" w:hAnsi="Cambria"/>
        </w:rPr>
        <w:t>;;</w:t>
      </w:r>
    </w:p>
    <w:p>
      <w:pPr>
        <w:pStyle w:val="15"/>
        <w:numPr>
          <w:ilvl w:val="0"/>
          <w:numId w:val="2"/>
        </w:numPr>
        <w:spacing w:after="120" w:line="276" w:lineRule="auto"/>
        <w:ind w:left="426" w:hanging="426"/>
        <w:jc w:val="both"/>
        <w:rPr>
          <w:rFonts w:ascii="Cambria" w:hAnsi="Cambria"/>
        </w:rPr>
      </w:pPr>
      <w:r>
        <w:rPr>
          <w:rFonts w:ascii="Cambria" w:hAnsi="Cambria"/>
        </w:rPr>
        <w:t xml:space="preserve">Menyelenggarakan </w:t>
      </w:r>
      <w:r>
        <w:rPr>
          <w:rFonts w:hint="default" w:ascii="Cambria" w:hAnsi="Cambria"/>
        </w:rPr>
        <w:t>tatausaha biro;</w:t>
      </w:r>
    </w:p>
    <w:p>
      <w:pPr>
        <w:pStyle w:val="15"/>
        <w:numPr>
          <w:ilvl w:val="0"/>
          <w:numId w:val="2"/>
        </w:numPr>
        <w:spacing w:after="120" w:line="276" w:lineRule="auto"/>
        <w:ind w:left="426" w:hanging="426"/>
        <w:jc w:val="both"/>
        <w:rPr>
          <w:rFonts w:ascii="Cambria" w:hAnsi="Cambria"/>
        </w:rPr>
      </w:pPr>
      <w:r>
        <w:rPr>
          <w:rFonts w:hint="default" w:ascii="Cambria" w:hAnsi="Cambria"/>
        </w:rPr>
        <w:t xml:space="preserve">Melaksanakan pemantauan, evaluasi dan </w:t>
      </w:r>
      <w:r>
        <w:rPr>
          <w:rFonts w:ascii="Cambria" w:hAnsi="Cambria" w:cs="Times New Roman"/>
          <w:sz w:val="22"/>
          <w:szCs w:val="22"/>
        </w:rPr>
        <w:t xml:space="preserve">pelaporan pelaksanaan </w:t>
      </w:r>
      <w:r>
        <w:rPr>
          <w:rFonts w:hint="default" w:ascii="Cambria" w:hAnsi="Cambria" w:cs="Times New Roman"/>
          <w:sz w:val="22"/>
          <w:szCs w:val="22"/>
        </w:rPr>
        <w:t>tugas di bidang perencanaan, pembinaan dan pengelolaan barang milik daerah serta layanan</w:t>
      </w:r>
      <w:r>
        <w:rPr>
          <w:rFonts w:ascii="Cambria" w:hAnsi="Cambria" w:cs="Times New Roman"/>
          <w:sz w:val="22"/>
          <w:szCs w:val="22"/>
        </w:rPr>
        <w:t xml:space="preserve"> pengadaan barang dan jasa</w:t>
      </w:r>
    </w:p>
    <w:p>
      <w:pPr>
        <w:pStyle w:val="15"/>
        <w:numPr>
          <w:ilvl w:val="0"/>
          <w:numId w:val="2"/>
        </w:numPr>
        <w:spacing w:after="120" w:line="276" w:lineRule="auto"/>
        <w:ind w:left="426" w:hanging="426"/>
        <w:jc w:val="both"/>
        <w:rPr>
          <w:rFonts w:ascii="Cambria" w:hAnsi="Cambria"/>
        </w:rPr>
      </w:pPr>
      <w:r>
        <w:rPr>
          <w:rFonts w:ascii="Cambria" w:hAnsi="Cambria"/>
        </w:rPr>
        <w:t>Menyelenggarakan tugas kedinasan lain sesuai dengan tugas pokok dan fungsinya.</w:t>
      </w:r>
    </w:p>
    <w:p>
      <w:pPr>
        <w:ind w:left="0" w:leftChars="0" w:firstLine="660" w:firstLineChars="300"/>
        <w:jc w:val="both"/>
        <w:rPr>
          <w:rFonts w:ascii="Cambria" w:hAnsi="Cambria" w:cs="Times New Roman"/>
          <w:color w:val="auto"/>
          <w:sz w:val="22"/>
          <w:szCs w:val="22"/>
        </w:rPr>
      </w:pPr>
      <w:r>
        <w:rPr>
          <w:rFonts w:ascii="Cambria" w:hAnsi="Cambria" w:cs="Times New Roman"/>
          <w:color w:val="auto"/>
          <w:sz w:val="22"/>
          <w:szCs w:val="22"/>
          <w:lang w:val="en-US"/>
        </w:rPr>
        <w:t>S</w:t>
      </w:r>
      <w:r>
        <w:rPr>
          <w:rFonts w:ascii="Cambria" w:hAnsi="Cambria" w:cs="Times New Roman"/>
          <w:color w:val="auto"/>
          <w:sz w:val="22"/>
          <w:szCs w:val="22"/>
        </w:rPr>
        <w:t xml:space="preserve">truktur organisasi </w:t>
      </w:r>
      <w:r>
        <w:rPr>
          <w:rFonts w:ascii="Cambria" w:hAnsi="Cambria" w:cs="Times New Roman"/>
          <w:sz w:val="22"/>
          <w:szCs w:val="22"/>
        </w:rPr>
        <w:t>Biro Administrasi Pengadaan dan Pengelolaan Barang Milik Daerah</w:t>
      </w:r>
      <w:r>
        <w:rPr>
          <w:rFonts w:ascii="Cambria" w:hAnsi="Cambria" w:cs="Times New Roman"/>
          <w:color w:val="auto"/>
          <w:sz w:val="22"/>
          <w:szCs w:val="22"/>
          <w:lang w:val="en-US"/>
        </w:rPr>
        <w:t xml:space="preserve"> setelah ditetapkannya Peraturan</w:t>
      </w:r>
      <w:r>
        <w:rPr>
          <w:rFonts w:ascii="Cambria" w:hAnsi="Cambria" w:cs="Times New Roman"/>
          <w:sz w:val="22"/>
          <w:szCs w:val="22"/>
        </w:rPr>
        <w:t xml:space="preserve"> </w:t>
      </w:r>
      <w:r>
        <w:rPr>
          <w:rFonts w:ascii="Cambria" w:hAnsi="Cambria" w:cs="Times New Roman"/>
          <w:color w:val="auto"/>
          <w:sz w:val="22"/>
          <w:szCs w:val="22"/>
          <w:lang w:val="en-US"/>
        </w:rPr>
        <w:t xml:space="preserve">Daerah Nomor </w:t>
      </w:r>
      <w:r>
        <w:rPr>
          <w:rFonts w:ascii="Cambria" w:hAnsi="Cambria" w:cs="Times New Roman"/>
          <w:sz w:val="22"/>
          <w:szCs w:val="22"/>
          <w:lang w:val="en-US"/>
        </w:rPr>
        <w:t>8 Tahun 2016 tersebut</w:t>
      </w:r>
      <w:r>
        <w:rPr>
          <w:rFonts w:ascii="Cambria" w:hAnsi="Cambria" w:cs="Times New Roman"/>
          <w:sz w:val="22"/>
          <w:szCs w:val="22"/>
        </w:rPr>
        <w:t xml:space="preserve"> terdiri dari Kepala Biro Administrasi Pengadaan dan Pengelolaan Barang Milik Daerah yang memimpin pelaksanaan tugas dan fungsi tersebut, dan membawahi 3</w:t>
      </w:r>
      <w:r>
        <w:rPr>
          <w:rFonts w:ascii="Cambria" w:hAnsi="Cambria" w:cs="Times New Roman"/>
          <w:b/>
          <w:color w:val="auto"/>
          <w:sz w:val="22"/>
          <w:szCs w:val="22"/>
          <w:lang w:val="en-US"/>
        </w:rPr>
        <w:t xml:space="preserve"> </w:t>
      </w:r>
      <w:r>
        <w:rPr>
          <w:rFonts w:ascii="Cambria" w:hAnsi="Cambria" w:cs="Times New Roman"/>
          <w:color w:val="auto"/>
          <w:sz w:val="22"/>
          <w:szCs w:val="22"/>
          <w:lang w:val="en-US"/>
        </w:rPr>
        <w:t>(tiga) Bagian</w:t>
      </w:r>
      <w:r>
        <w:rPr>
          <w:rFonts w:ascii="Cambria" w:hAnsi="Cambria" w:cs="Times New Roman"/>
          <w:sz w:val="22"/>
          <w:szCs w:val="22"/>
        </w:rPr>
        <w:t xml:space="preserve"> </w:t>
      </w:r>
      <w:r>
        <w:rPr>
          <w:rFonts w:ascii="Cambria" w:hAnsi="Cambria" w:cs="Times New Roman"/>
          <w:color w:val="auto"/>
          <w:sz w:val="22"/>
          <w:szCs w:val="22"/>
          <w:lang w:val="en-US"/>
        </w:rPr>
        <w:t>yaitu B</w:t>
      </w:r>
      <w:r>
        <w:rPr>
          <w:rFonts w:ascii="Cambria" w:hAnsi="Cambria" w:cs="Times New Roman"/>
          <w:color w:val="auto"/>
          <w:sz w:val="22"/>
          <w:szCs w:val="22"/>
        </w:rPr>
        <w:t>agian Bina Sarana, Bagian Layanan Pengadaan</w:t>
      </w:r>
      <w:r>
        <w:rPr>
          <w:rFonts w:ascii="Cambria" w:hAnsi="Cambria" w:cs="Times New Roman"/>
          <w:color w:val="auto"/>
          <w:sz w:val="22"/>
          <w:szCs w:val="22"/>
          <w:lang w:val="en-US"/>
        </w:rPr>
        <w:t xml:space="preserve"> dan </w:t>
      </w:r>
      <w:r>
        <w:rPr>
          <w:rFonts w:ascii="Cambria" w:hAnsi="Cambria" w:cs="Times New Roman"/>
          <w:color w:val="auto"/>
          <w:sz w:val="22"/>
          <w:szCs w:val="22"/>
        </w:rPr>
        <w:t xml:space="preserve">Bagian Pengelolaan Barang Milik Daerah. Namun dengan keluarnya Peraturan Gubernur Sumatera Barat Nomor 116 Tahun 2017 tentang </w:t>
      </w:r>
      <w:r>
        <w:rPr>
          <w:rFonts w:ascii="Cambria" w:hAnsi="Cambria"/>
          <w:sz w:val="22"/>
          <w:szCs w:val="22"/>
        </w:rPr>
        <w:t>Perubahan Kedua Atas Peraturan Gubernur Sumatera Barat Nomor 68 Tahun 2016 tentang Kedudukan, Susunan Organisasi, Tugas dan Fungsi serta Tata Kerja Sekretariat Daerah Provinsi Sumatera Barat</w:t>
      </w:r>
      <w:r>
        <w:rPr>
          <w:rFonts w:hint="default" w:ascii="Cambria" w:hAnsi="Cambria"/>
          <w:sz w:val="22"/>
          <w:szCs w:val="22"/>
        </w:rPr>
        <w:t xml:space="preserve"> dan yang terbaru Peraturan Gubernur Sumatera Barat Nomor 69 Tahun 2018 tentang Uraian Tugas Pokok dan Fungsi Sekretariat Daerah Provinsi Sumatera Barat</w:t>
      </w:r>
      <w:r>
        <w:rPr>
          <w:rFonts w:ascii="Cambria" w:hAnsi="Cambria"/>
          <w:sz w:val="22"/>
          <w:szCs w:val="22"/>
        </w:rPr>
        <w:t>, terdapat perubahan nomenklatur pada</w:t>
      </w:r>
      <w:r>
        <w:rPr>
          <w:rFonts w:ascii="Cambria" w:hAnsi="Cambria" w:cs="Times New Roman"/>
          <w:color w:val="auto"/>
          <w:sz w:val="22"/>
          <w:szCs w:val="22"/>
        </w:rPr>
        <w:t xml:space="preserve"> struktur organisasi </w:t>
      </w:r>
      <w:r>
        <w:rPr>
          <w:rFonts w:ascii="Cambria" w:hAnsi="Cambria" w:cs="Times New Roman"/>
          <w:sz w:val="22"/>
          <w:szCs w:val="22"/>
        </w:rPr>
        <w:t>Biro Administrasi Pengadaan dan Pengelolaan Barang Milik Daerah</w:t>
      </w:r>
      <w:r>
        <w:rPr>
          <w:rFonts w:hint="default" w:ascii="Cambria" w:hAnsi="Cambria" w:cs="Times New Roman"/>
          <w:sz w:val="22"/>
          <w:szCs w:val="22"/>
        </w:rPr>
        <w:t xml:space="preserve"> </w:t>
      </w:r>
      <w:r>
        <w:rPr>
          <w:rFonts w:ascii="Cambria" w:hAnsi="Cambria" w:cs="Times New Roman"/>
          <w:color w:val="auto"/>
          <w:sz w:val="22"/>
          <w:szCs w:val="22"/>
          <w:lang w:val="en-US"/>
        </w:rPr>
        <w:t>Bagian</w:t>
      </w:r>
      <w:r>
        <w:rPr>
          <w:rFonts w:ascii="Cambria" w:hAnsi="Cambria" w:cs="Times New Roman"/>
          <w:sz w:val="22"/>
          <w:szCs w:val="22"/>
        </w:rPr>
        <w:t xml:space="preserve"> </w:t>
      </w:r>
      <w:r>
        <w:rPr>
          <w:rFonts w:ascii="Cambria" w:hAnsi="Cambria" w:cs="Times New Roman"/>
          <w:color w:val="auto"/>
          <w:sz w:val="22"/>
          <w:szCs w:val="22"/>
          <w:lang w:val="en-US"/>
        </w:rPr>
        <w:t>yaitu B</w:t>
      </w:r>
      <w:r>
        <w:rPr>
          <w:rFonts w:ascii="Cambria" w:hAnsi="Cambria" w:cs="Times New Roman"/>
          <w:color w:val="auto"/>
          <w:sz w:val="22"/>
          <w:szCs w:val="22"/>
        </w:rPr>
        <w:t>agian Bina Sarana, Bagian Pengadaan</w:t>
      </w:r>
      <w:r>
        <w:rPr>
          <w:rFonts w:ascii="Cambria" w:hAnsi="Cambria" w:cs="Times New Roman"/>
          <w:color w:val="auto"/>
          <w:sz w:val="22"/>
          <w:szCs w:val="22"/>
          <w:lang w:val="en-US"/>
        </w:rPr>
        <w:t xml:space="preserve"> </w:t>
      </w:r>
      <w:r>
        <w:rPr>
          <w:rFonts w:hint="default" w:ascii="Cambria" w:hAnsi="Cambria" w:cs="Times New Roman"/>
          <w:color w:val="auto"/>
          <w:sz w:val="22"/>
          <w:szCs w:val="22"/>
        </w:rPr>
        <w:t>Barang dan Jasa,</w:t>
      </w:r>
      <w:r>
        <w:rPr>
          <w:rFonts w:ascii="Cambria" w:hAnsi="Cambria" w:cs="Times New Roman"/>
          <w:color w:val="auto"/>
          <w:sz w:val="22"/>
          <w:szCs w:val="22"/>
          <w:lang w:val="en-US"/>
        </w:rPr>
        <w:t xml:space="preserve"> </w:t>
      </w:r>
      <w:r>
        <w:rPr>
          <w:rFonts w:ascii="Cambria" w:hAnsi="Cambria" w:cs="Times New Roman"/>
          <w:color w:val="auto"/>
          <w:sz w:val="22"/>
          <w:szCs w:val="22"/>
        </w:rPr>
        <w:t>Bagian Pengelolaan Barang Milik Daerah</w:t>
      </w:r>
      <w:r>
        <w:rPr>
          <w:rFonts w:hint="default" w:ascii="Cambria" w:hAnsi="Cambria" w:cs="Times New Roman"/>
          <w:color w:val="auto"/>
          <w:sz w:val="22"/>
          <w:szCs w:val="22"/>
        </w:rPr>
        <w:t xml:space="preserve"> dan Kelompok jabatan fungsional, </w:t>
      </w:r>
      <w:r>
        <w:rPr>
          <w:rFonts w:ascii="Cambria" w:hAnsi="Cambria" w:cs="Times New Roman"/>
          <w:color w:val="auto"/>
          <w:sz w:val="22"/>
          <w:szCs w:val="22"/>
        </w:rPr>
        <w:t>dapat dilihat pada Gambar</w:t>
      </w:r>
      <w:r>
        <w:rPr>
          <w:rFonts w:ascii="Cambria" w:hAnsi="Cambria" w:cs="Times New Roman"/>
          <w:color w:val="auto"/>
          <w:sz w:val="22"/>
          <w:szCs w:val="22"/>
          <w:lang w:val="en-US"/>
        </w:rPr>
        <w:t xml:space="preserve"> 2.1 dibawah ini</w:t>
      </w:r>
      <w:r>
        <w:rPr>
          <w:rFonts w:ascii="Cambria" w:hAnsi="Cambria" w:cs="Times New Roman"/>
          <w:color w:val="auto"/>
          <w:sz w:val="22"/>
          <w:szCs w:val="22"/>
        </w:rPr>
        <w:t xml:space="preserve"> :</w:t>
      </w:r>
    </w:p>
    <w:p>
      <w:pPr>
        <w:pStyle w:val="10"/>
        <w:ind w:firstLine="720"/>
        <w:jc w:val="center"/>
        <w:rPr>
          <w:rFonts w:ascii="Cambria" w:hAnsi="Cambria" w:cs="Times New Roman"/>
          <w:b/>
          <w:color w:val="auto"/>
          <w:sz w:val="22"/>
          <w:szCs w:val="22"/>
        </w:rPr>
      </w:pPr>
    </w:p>
    <w:p>
      <w:pPr>
        <w:pStyle w:val="10"/>
        <w:jc w:val="center"/>
        <w:rPr>
          <w:rFonts w:ascii="Cambria" w:hAnsi="Cambria" w:cs="Times New Roman"/>
          <w:b/>
          <w:color w:val="auto"/>
          <w:sz w:val="22"/>
          <w:szCs w:val="22"/>
          <w:lang w:val="en-US"/>
        </w:rPr>
      </w:pPr>
      <w:r>
        <w:rPr>
          <w:rFonts w:ascii="Cambria" w:hAnsi="Cambria" w:cs="Times New Roman"/>
          <w:b/>
          <w:color w:val="auto"/>
          <w:sz w:val="22"/>
          <w:szCs w:val="22"/>
        </w:rPr>
        <w:t>Gambar</w:t>
      </w:r>
      <w:r>
        <w:rPr>
          <w:rFonts w:ascii="Cambria" w:hAnsi="Cambria" w:cs="Times New Roman"/>
          <w:b/>
          <w:color w:val="auto"/>
          <w:sz w:val="22"/>
          <w:szCs w:val="22"/>
          <w:lang w:val="en-US"/>
        </w:rPr>
        <w:t xml:space="preserve"> 2.1</w:t>
      </w:r>
    </w:p>
    <w:p>
      <w:pPr>
        <w:pStyle w:val="10"/>
        <w:jc w:val="center"/>
        <w:rPr>
          <w:rFonts w:ascii="Cambria" w:hAnsi="Cambria"/>
          <w:b/>
          <w:sz w:val="22"/>
          <w:szCs w:val="22"/>
        </w:rPr>
      </w:pPr>
      <w:r>
        <w:rPr>
          <w:rFonts w:ascii="Cambria" w:hAnsi="Cambria"/>
          <w:b/>
          <w:sz w:val="22"/>
          <w:szCs w:val="22"/>
          <w:lang w:val="en-US"/>
        </w:rPr>
        <w:t>Bagan Struktur Organisasi</w:t>
      </w:r>
      <w:r>
        <w:rPr>
          <w:rFonts w:ascii="Cambria" w:hAnsi="Cambria"/>
          <w:b/>
          <w:sz w:val="22"/>
          <w:szCs w:val="22"/>
        </w:rPr>
        <w:t xml:space="preserve"> </w:t>
      </w:r>
    </w:p>
    <w:p>
      <w:pPr>
        <w:pStyle w:val="10"/>
        <w:jc w:val="center"/>
        <w:rPr>
          <w:rFonts w:ascii="Cambria" w:hAnsi="Cambria" w:cs="Times New Roman"/>
          <w:b/>
          <w:color w:val="auto"/>
          <w:sz w:val="22"/>
          <w:szCs w:val="22"/>
        </w:rPr>
      </w:pPr>
      <w:r>
        <w:rPr>
          <w:rFonts w:ascii="Cambria" w:hAnsi="Cambria"/>
          <w:b/>
          <w:sz w:val="22"/>
          <w:szCs w:val="22"/>
        </w:rPr>
        <w:t xml:space="preserve">Biro </w:t>
      </w:r>
      <w:r>
        <w:rPr>
          <w:rFonts w:ascii="Cambria" w:hAnsi="Cambria" w:cs="Times New Roman"/>
          <w:b/>
          <w:sz w:val="22"/>
          <w:szCs w:val="22"/>
        </w:rPr>
        <w:t>Administrasi Pengadaan dan Pengelolaan Barang Milik Daerah</w:t>
      </w:r>
    </w:p>
    <w:p>
      <w:r>
        <w:rPr>
          <w:b/>
          <w:lang w:eastAsia="id-ID"/>
        </w:rPr>
        <mc:AlternateContent>
          <mc:Choice Requires="wps">
            <w:drawing>
              <wp:anchor distT="0" distB="0" distL="114300" distR="114300" simplePos="0" relativeHeight="251687936" behindDoc="0" locked="0" layoutInCell="1" allowOverlap="1">
                <wp:simplePos x="0" y="0"/>
                <wp:positionH relativeFrom="column">
                  <wp:posOffset>2161540</wp:posOffset>
                </wp:positionH>
                <wp:positionV relativeFrom="paragraph">
                  <wp:posOffset>203200</wp:posOffset>
                </wp:positionV>
                <wp:extent cx="2409825" cy="581025"/>
                <wp:effectExtent l="19050" t="19050" r="47625" b="66675"/>
                <wp:wrapNone/>
                <wp:docPr id="57" name="Rounded Rectangle 57"/>
                <wp:cNvGraphicFramePr/>
                <a:graphic xmlns:a="http://schemas.openxmlformats.org/drawingml/2006/main">
                  <a:graphicData uri="http://schemas.microsoft.com/office/word/2010/wordprocessingShape">
                    <wps:wsp>
                      <wps:cNvSpPr>
                        <a:spLocks noChangeArrowheads="1"/>
                      </wps:cNvSpPr>
                      <wps:spPr bwMode="auto">
                        <a:xfrm>
                          <a:off x="0" y="0"/>
                          <a:ext cx="2409825" cy="581025"/>
                        </a:xfrm>
                        <a:prstGeom prst="roundRect">
                          <a:avLst>
                            <a:gd name="adj" fmla="val 16667"/>
                          </a:avLst>
                        </a:prstGeom>
                        <a:solidFill>
                          <a:schemeClr val="accent6">
                            <a:lumMod val="60000"/>
                            <a:lumOff val="40000"/>
                          </a:schemeClr>
                        </a:solidFill>
                        <a:ln w="38100">
                          <a:solidFill>
                            <a:schemeClr val="lt1">
                              <a:lumMod val="95000"/>
                              <a:lumOff val="0"/>
                            </a:schemeClr>
                          </a:solidFill>
                          <a:round/>
                        </a:ln>
                        <a:effectLst>
                          <a:outerShdw dist="28398" dir="3806097" algn="ctr" rotWithShape="0">
                            <a:schemeClr val="accent4">
                              <a:lumMod val="50000"/>
                              <a:lumOff val="0"/>
                              <a:alpha val="50000"/>
                            </a:schemeClr>
                          </a:outerShdw>
                        </a:effectLst>
                      </wps:spPr>
                      <wps:txbx>
                        <w:txbxContent>
                          <w:p>
                            <w:pPr>
                              <w:spacing w:after="0" w:line="240" w:lineRule="auto"/>
                              <w:jc w:val="center"/>
                            </w:pPr>
                            <w:r>
                              <w:t>Biro Administrasi Pengadaan dan Pengelolaan Barang Milik Daerah</w:t>
                            </w:r>
                          </w:p>
                        </w:txbxContent>
                      </wps:txbx>
                      <wps:bodyPr rot="0" vert="horz" wrap="square" lIns="91440" tIns="45720" rIns="91440" bIns="45720" anchor="t" anchorCtr="0" upright="1">
                        <a:noAutofit/>
                      </wps:bodyPr>
                    </wps:wsp>
                  </a:graphicData>
                </a:graphic>
              </wp:anchor>
            </w:drawing>
          </mc:Choice>
          <mc:Fallback>
            <w:pict>
              <v:roundrect id="Rounded Rectangle 57" o:spid="_x0000_s1026" o:spt="2" style="position:absolute;left:0pt;margin-left:170.2pt;margin-top:16pt;height:45.75pt;width:189.75pt;z-index:251687936;mso-width-relative:page;mso-height-relative:page;" fillcolor="#A9D18E [1945]" filled="t" stroked="t" coordsize="21600,21600" arcsize="0.166666666666667" o:gfxdata="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">
                <v:fill on="t" focussize="0,0"/>
                <v:stroke weight="3pt" color="#F2F2F2 [3201]" joinstyle="round"/>
                <v:imagedata o:title=""/>
                <o:lock v:ext="edit" aspectratio="f"/>
                <v:shadow on="t" color="#7F6000 [3207]" opacity="32768f" offset="1pt,2pt" origin="0f,0f" matrix="65536f,0f,0f,65536f"/>
                <v:textbox>
                  <w:txbxContent>
                    <w:p>
                      <w:pPr>
                        <w:spacing w:after="0" w:line="240" w:lineRule="auto"/>
                        <w:jc w:val="center"/>
                      </w:pPr>
                      <w:r>
                        <w:t>Biro Administrasi Pengadaan dan Pengelolaan Barang Milik Daerah</w:t>
                      </w:r>
                    </w:p>
                  </w:txbxContent>
                </v:textbox>
              </v:roundrect>
            </w:pict>
          </mc:Fallback>
        </mc:AlternateContent>
      </w:r>
    </w:p>
    <w:p>
      <w:pPr>
        <w:jc w:val="both"/>
      </w:pPr>
    </w:p>
    <w:p>
      <w:pPr>
        <w:jc w:val="both"/>
      </w:pPr>
      <w:r>
        <w:rPr>
          <w:lang w:eastAsia="id-ID"/>
        </w:rPr>
        <mc:AlternateContent>
          <mc:Choice Requires="wps">
            <w:drawing>
              <wp:anchor distT="0" distB="0" distL="114300" distR="114300" simplePos="0" relativeHeight="251720704" behindDoc="0" locked="0" layoutInCell="1" allowOverlap="1">
                <wp:simplePos x="0" y="0"/>
                <wp:positionH relativeFrom="column">
                  <wp:posOffset>3362325</wp:posOffset>
                </wp:positionH>
                <wp:positionV relativeFrom="paragraph">
                  <wp:posOffset>260985</wp:posOffset>
                </wp:positionV>
                <wp:extent cx="0" cy="1028700"/>
                <wp:effectExtent l="0" t="0" r="19050" b="19050"/>
                <wp:wrapNone/>
                <wp:docPr id="59" name="Straight Connector 59"/>
                <wp:cNvGraphicFramePr/>
                <a:graphic xmlns:a="http://schemas.openxmlformats.org/drawingml/2006/main">
                  <a:graphicData uri="http://schemas.microsoft.com/office/word/2010/wordprocessingShape">
                    <wps:wsp>
                      <wps:cNvCnPr/>
                      <wps:spPr>
                        <a:xfrm>
                          <a:off x="0" y="0"/>
                          <a:ext cx="0" cy="102870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59" o:spid="_x0000_s1026" o:spt="20" style="position:absolute;left:0pt;margin-left:264.75pt;margin-top:20.55pt;height:81pt;width:0pt;z-index:251720704;mso-width-relative:page;mso-height-relative:page;" filled="f" stroked="t" coordsize="21600,21600" o:gfxdata="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">
                <v:fill on="f" focussize="0,0"/>
                <v:stroke weight="0.5pt" color="#000000 [3200]" miterlimit="8" joinstyle="miter"/>
                <v:imagedata o:title=""/>
                <o:lock v:ext="edit" aspectratio="f"/>
              </v:line>
            </w:pict>
          </mc:Fallback>
        </mc:AlternateContent>
      </w:r>
    </w:p>
    <w:p>
      <w:pPr>
        <w:rPr>
          <w:rFonts w:ascii="Cambria" w:hAnsi="Cambria"/>
        </w:rPr>
      </w:pPr>
      <w:r>
        <w:rPr>
          <w:lang w:eastAsia="id-ID"/>
        </w:rPr>
        <mc:AlternateContent>
          <mc:Choice Requires="wps">
            <w:drawing>
              <wp:anchor distT="0" distB="0" distL="114300" distR="114300" simplePos="0" relativeHeight="251767808" behindDoc="0" locked="0" layoutInCell="1" allowOverlap="1">
                <wp:simplePos x="0" y="0"/>
                <wp:positionH relativeFrom="column">
                  <wp:posOffset>3838575</wp:posOffset>
                </wp:positionH>
                <wp:positionV relativeFrom="paragraph">
                  <wp:posOffset>4371975</wp:posOffset>
                </wp:positionV>
                <wp:extent cx="171450" cy="0"/>
                <wp:effectExtent l="0" t="0" r="19050" b="19050"/>
                <wp:wrapNone/>
                <wp:docPr id="10" name="Straight Connector 10"/>
                <wp:cNvGraphicFramePr/>
                <a:graphic xmlns:a="http://schemas.openxmlformats.org/drawingml/2006/main">
                  <a:graphicData uri="http://schemas.microsoft.com/office/word/2010/wordprocessingShape">
                    <wps:wsp>
                      <wps:cNvCnPr/>
                      <wps:spPr>
                        <a:xfrm>
                          <a:off x="0" y="0"/>
                          <a:ext cx="171450" cy="0"/>
                        </a:xfrm>
                        <a:prstGeom prst="line">
                          <a:avLst/>
                        </a:prstGeom>
                        <a:noFill/>
                        <a:ln w="6350" cap="flat" cmpd="sng" algn="ctr">
                          <a:solidFill>
                            <a:sysClr val="windowText" lastClr="000000"/>
                          </a:solidFill>
                          <a:prstDash val="solid"/>
                          <a:miter lim="800000"/>
                        </a:ln>
                        <a:effectLst/>
                      </wps:spPr>
                      <wps:bodyPr/>
                    </wps:wsp>
                  </a:graphicData>
                </a:graphic>
              </wp:anchor>
            </w:drawing>
          </mc:Choice>
          <mc:Fallback>
            <w:pict>
              <v:line id="Straight Connector 10" o:spid="_x0000_s1026" o:spt="20" style="position:absolute;left:0pt;margin-left:302.25pt;margin-top:344.25pt;height:0pt;width:13.5pt;z-index:251767808;mso-width-relative:page;mso-height-relative:page;" filled="f" stroked="t" coordsize="21600,21600" o:gfxdata="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">
                <v:fill on="f" focussize="0,0"/>
                <v:stroke weight="0.5pt" color="#000000" miterlimit="8" joinstyle="miter"/>
                <v:imagedata o:title=""/>
                <o:lock v:ext="edit" aspectratio="f"/>
              </v:line>
            </w:pict>
          </mc:Fallback>
        </mc:AlternateContent>
      </w:r>
      <w:r>
        <w:rPr>
          <w:lang w:eastAsia="id-ID"/>
        </w:rPr>
        <mc:AlternateContent>
          <mc:Choice Requires="wps">
            <w:drawing>
              <wp:anchor distT="0" distB="0" distL="114300" distR="114300" simplePos="0" relativeHeight="251698176" behindDoc="0" locked="0" layoutInCell="1" allowOverlap="1">
                <wp:simplePos x="0" y="0"/>
                <wp:positionH relativeFrom="margin">
                  <wp:posOffset>4019550</wp:posOffset>
                </wp:positionH>
                <wp:positionV relativeFrom="paragraph">
                  <wp:posOffset>4004310</wp:posOffset>
                </wp:positionV>
                <wp:extent cx="1752600" cy="600075"/>
                <wp:effectExtent l="19050" t="19050" r="38100" b="66675"/>
                <wp:wrapNone/>
                <wp:docPr id="45" name="Rounded Rectangle 45"/>
                <wp:cNvGraphicFramePr/>
                <a:graphic xmlns:a="http://schemas.openxmlformats.org/drawingml/2006/main">
                  <a:graphicData uri="http://schemas.microsoft.com/office/word/2010/wordprocessingShape">
                    <wps:wsp>
                      <wps:cNvSpPr>
                        <a:spLocks noChangeArrowheads="1"/>
                      </wps:cNvSpPr>
                      <wps:spPr bwMode="auto">
                        <a:xfrm>
                          <a:off x="0" y="0"/>
                          <a:ext cx="1752600" cy="600075"/>
                        </a:xfrm>
                        <a:prstGeom prst="roundRect">
                          <a:avLst>
                            <a:gd name="adj" fmla="val 16667"/>
                          </a:avLst>
                        </a:prstGeom>
                        <a:solidFill>
                          <a:schemeClr val="accent6">
                            <a:lumMod val="60000"/>
                            <a:lumOff val="40000"/>
                          </a:schemeClr>
                        </a:solidFill>
                        <a:ln w="38100">
                          <a:solidFill>
                            <a:schemeClr val="lt1">
                              <a:lumMod val="95000"/>
                              <a:lumOff val="0"/>
                            </a:schemeClr>
                          </a:solidFill>
                          <a:round/>
                        </a:ln>
                        <a:effectLst>
                          <a:outerShdw dist="28398" dir="3806097" algn="ctr" rotWithShape="0">
                            <a:schemeClr val="accent4">
                              <a:lumMod val="50000"/>
                              <a:lumOff val="0"/>
                              <a:alpha val="50000"/>
                            </a:schemeClr>
                          </a:outerShdw>
                        </a:effectLst>
                      </wps:spPr>
                      <wps:txbx>
                        <w:txbxContent>
                          <w:p>
                            <w:pPr>
                              <w:ind w:left="-142" w:right="-178"/>
                              <w:jc w:val="center"/>
                            </w:pPr>
                            <w:r>
                              <w:t>Sub Bagian Perubahan           Status Hukum</w:t>
                            </w:r>
                          </w:p>
                        </w:txbxContent>
                      </wps:txbx>
                      <wps:bodyPr rot="0" vert="horz" wrap="square" lIns="91440" tIns="45720" rIns="91440" bIns="45720" anchor="t" anchorCtr="0" upright="1">
                        <a:noAutofit/>
                      </wps:bodyPr>
                    </wps:wsp>
                  </a:graphicData>
                </a:graphic>
              </wp:anchor>
            </w:drawing>
          </mc:Choice>
          <mc:Fallback>
            <w:pict>
              <v:roundrect id="Rounded Rectangle 45" o:spid="_x0000_s1026" o:spt="2" style="position:absolute;left:0pt;margin-left:316.5pt;margin-top:315.3pt;height:47.25pt;width:138pt;mso-position-horizontal-relative:margin;z-index:251698176;mso-width-relative:page;mso-height-relative:page;" fillcolor="#A9D18E [1945]" filled="t" stroked="t" coordsize="21600,21600" arcsize="0.166666666666667" o:gfxdata="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">
                <v:fill on="t" focussize="0,0"/>
                <v:stroke weight="3pt" color="#F2F2F2 [3201]" joinstyle="round"/>
                <v:imagedata o:title=""/>
                <o:lock v:ext="edit" aspectratio="f"/>
                <v:shadow on="t" color="#7F6000 [3207]" opacity="32768f" offset="1pt,2pt" origin="0f,0f" matrix="65536f,0f,0f,65536f"/>
                <v:textbox>
                  <w:txbxContent>
                    <w:p>
                      <w:pPr>
                        <w:ind w:left="-142" w:right="-178"/>
                        <w:jc w:val="center"/>
                      </w:pPr>
                      <w:r>
                        <w:t>Sub Bagian Perubahan           Status Hukum</w:t>
                      </w:r>
                    </w:p>
                  </w:txbxContent>
                </v:textbox>
              </v:roundrect>
            </w:pict>
          </mc:Fallback>
        </mc:AlternateContent>
      </w:r>
      <w:r>
        <w:rPr>
          <w:lang w:eastAsia="id-ID"/>
        </w:rPr>
        <mc:AlternateContent>
          <mc:Choice Requires="wps">
            <w:drawing>
              <wp:anchor distT="0" distB="0" distL="114300" distR="114300" simplePos="0" relativeHeight="251771904" behindDoc="0" locked="0" layoutInCell="1" allowOverlap="1">
                <wp:simplePos x="0" y="0"/>
                <wp:positionH relativeFrom="column">
                  <wp:posOffset>3829050</wp:posOffset>
                </wp:positionH>
                <wp:positionV relativeFrom="paragraph">
                  <wp:posOffset>2419350</wp:posOffset>
                </wp:positionV>
                <wp:extent cx="171450" cy="0"/>
                <wp:effectExtent l="0" t="0" r="19050" b="19050"/>
                <wp:wrapNone/>
                <wp:docPr id="12" name="Straight Connector 12"/>
                <wp:cNvGraphicFramePr/>
                <a:graphic xmlns:a="http://schemas.openxmlformats.org/drawingml/2006/main">
                  <a:graphicData uri="http://schemas.microsoft.com/office/word/2010/wordprocessingShape">
                    <wps:wsp>
                      <wps:cNvCnPr/>
                      <wps:spPr>
                        <a:xfrm>
                          <a:off x="0" y="0"/>
                          <a:ext cx="171450" cy="0"/>
                        </a:xfrm>
                        <a:prstGeom prst="line">
                          <a:avLst/>
                        </a:prstGeom>
                        <a:noFill/>
                        <a:ln w="6350" cap="flat" cmpd="sng" algn="ctr">
                          <a:solidFill>
                            <a:sysClr val="windowText" lastClr="000000"/>
                          </a:solidFill>
                          <a:prstDash val="solid"/>
                          <a:miter lim="800000"/>
                        </a:ln>
                        <a:effectLst/>
                      </wps:spPr>
                      <wps:bodyPr/>
                    </wps:wsp>
                  </a:graphicData>
                </a:graphic>
              </wp:anchor>
            </w:drawing>
          </mc:Choice>
          <mc:Fallback>
            <w:pict>
              <v:line id="Straight Connector 12" o:spid="_x0000_s1026" o:spt="20" style="position:absolute;left:0pt;margin-left:301.5pt;margin-top:190.5pt;height:0pt;width:13.5pt;z-index:251771904;mso-width-relative:page;mso-height-relative:page;" filled="f" stroked="t" coordsize="21600,21600" o:gfxdata="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">
                <v:fill on="f" focussize="0,0"/>
                <v:stroke weight="0.5pt" color="#000000" miterlimit="8" joinstyle="miter"/>
                <v:imagedata o:title=""/>
                <o:lock v:ext="edit" aspectratio="f"/>
              </v:line>
            </w:pict>
          </mc:Fallback>
        </mc:AlternateContent>
      </w:r>
      <w:r>
        <w:rPr>
          <w:lang w:eastAsia="id-ID"/>
        </w:rPr>
        <mc:AlternateContent>
          <mc:Choice Requires="wps">
            <w:drawing>
              <wp:anchor distT="0" distB="0" distL="114300" distR="114300" simplePos="0" relativeHeight="251769856" behindDoc="0" locked="0" layoutInCell="1" allowOverlap="1">
                <wp:simplePos x="0" y="0"/>
                <wp:positionH relativeFrom="column">
                  <wp:posOffset>3838575</wp:posOffset>
                </wp:positionH>
                <wp:positionV relativeFrom="paragraph">
                  <wp:posOffset>3390900</wp:posOffset>
                </wp:positionV>
                <wp:extent cx="171450" cy="0"/>
                <wp:effectExtent l="0" t="0" r="19050" b="19050"/>
                <wp:wrapNone/>
                <wp:docPr id="11" name="Straight Connector 11"/>
                <wp:cNvGraphicFramePr/>
                <a:graphic xmlns:a="http://schemas.openxmlformats.org/drawingml/2006/main">
                  <a:graphicData uri="http://schemas.microsoft.com/office/word/2010/wordprocessingShape">
                    <wps:wsp>
                      <wps:cNvCnPr/>
                      <wps:spPr>
                        <a:xfrm>
                          <a:off x="0" y="0"/>
                          <a:ext cx="171450" cy="0"/>
                        </a:xfrm>
                        <a:prstGeom prst="line">
                          <a:avLst/>
                        </a:prstGeom>
                        <a:noFill/>
                        <a:ln w="6350" cap="flat" cmpd="sng" algn="ctr">
                          <a:solidFill>
                            <a:sysClr val="windowText" lastClr="000000"/>
                          </a:solidFill>
                          <a:prstDash val="solid"/>
                          <a:miter lim="800000"/>
                        </a:ln>
                        <a:effectLst/>
                      </wps:spPr>
                      <wps:bodyPr/>
                    </wps:wsp>
                  </a:graphicData>
                </a:graphic>
              </wp:anchor>
            </w:drawing>
          </mc:Choice>
          <mc:Fallback>
            <w:pict>
              <v:line id="Straight Connector 11" o:spid="_x0000_s1026" o:spt="20" style="position:absolute;left:0pt;margin-left:302.25pt;margin-top:267pt;height:0pt;width:13.5pt;z-index:251769856;mso-width-relative:page;mso-height-relative:page;" filled="f" stroked="t" coordsize="21600,21600" o:gfxdata="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">
                <v:fill on="f" focussize="0,0"/>
                <v:stroke weight="0.5pt" color="#000000" miterlimit="8" joinstyle="miter"/>
                <v:imagedata o:title=""/>
                <o:lock v:ext="edit" aspectratio="f"/>
              </v:line>
            </w:pict>
          </mc:Fallback>
        </mc:AlternateContent>
      </w:r>
      <w:r>
        <w:rPr>
          <w:lang w:eastAsia="id-ID"/>
        </w:rPr>
        <mc:AlternateContent>
          <mc:Choice Requires="wps">
            <w:drawing>
              <wp:anchor distT="0" distB="0" distL="114300" distR="114300" simplePos="0" relativeHeight="251699200" behindDoc="0" locked="0" layoutInCell="1" allowOverlap="1">
                <wp:simplePos x="0" y="0"/>
                <wp:positionH relativeFrom="margin">
                  <wp:posOffset>4048125</wp:posOffset>
                </wp:positionH>
                <wp:positionV relativeFrom="paragraph">
                  <wp:posOffset>3080385</wp:posOffset>
                </wp:positionV>
                <wp:extent cx="1714500" cy="609600"/>
                <wp:effectExtent l="19050" t="19050" r="38100" b="57150"/>
                <wp:wrapNone/>
                <wp:docPr id="37" name="Rounded Rectangle 37"/>
                <wp:cNvGraphicFramePr/>
                <a:graphic xmlns:a="http://schemas.openxmlformats.org/drawingml/2006/main">
                  <a:graphicData uri="http://schemas.microsoft.com/office/word/2010/wordprocessingShape">
                    <wps:wsp>
                      <wps:cNvSpPr>
                        <a:spLocks noChangeArrowheads="1"/>
                      </wps:cNvSpPr>
                      <wps:spPr bwMode="auto">
                        <a:xfrm>
                          <a:off x="0" y="0"/>
                          <a:ext cx="1714500" cy="609600"/>
                        </a:xfrm>
                        <a:prstGeom prst="roundRect">
                          <a:avLst>
                            <a:gd name="adj" fmla="val 16667"/>
                          </a:avLst>
                        </a:prstGeom>
                        <a:solidFill>
                          <a:schemeClr val="accent6">
                            <a:lumMod val="60000"/>
                            <a:lumOff val="40000"/>
                          </a:schemeClr>
                        </a:solidFill>
                        <a:ln w="38100">
                          <a:solidFill>
                            <a:schemeClr val="lt1">
                              <a:lumMod val="95000"/>
                              <a:lumOff val="0"/>
                            </a:schemeClr>
                          </a:solidFill>
                          <a:round/>
                        </a:ln>
                        <a:effectLst>
                          <a:outerShdw dist="28398" dir="3806097" algn="ctr" rotWithShape="0">
                            <a:schemeClr val="accent4">
                              <a:lumMod val="50000"/>
                              <a:lumOff val="0"/>
                              <a:alpha val="50000"/>
                            </a:schemeClr>
                          </a:outerShdw>
                        </a:effectLst>
                      </wps:spPr>
                      <wps:txbx>
                        <w:txbxContent>
                          <w:p>
                            <w:pPr>
                              <w:ind w:right="-36"/>
                              <w:jc w:val="center"/>
                            </w:pPr>
                            <w:r>
                              <w:t>Sub Bagian Pemanfaatan BMD</w:t>
                            </w:r>
                          </w:p>
                        </w:txbxContent>
                      </wps:txbx>
                      <wps:bodyPr rot="0" vert="horz" wrap="square" lIns="91440" tIns="45720" rIns="91440" bIns="45720" anchor="t" anchorCtr="0" upright="1">
                        <a:noAutofit/>
                      </wps:bodyPr>
                    </wps:wsp>
                  </a:graphicData>
                </a:graphic>
              </wp:anchor>
            </w:drawing>
          </mc:Choice>
          <mc:Fallback>
            <w:pict>
              <v:roundrect id="Rounded Rectangle 37" o:spid="_x0000_s1026" o:spt="2" style="position:absolute;left:0pt;margin-left:318.75pt;margin-top:242.55pt;height:48pt;width:135pt;mso-position-horizontal-relative:margin;z-index:251699200;mso-width-relative:page;mso-height-relative:page;" fillcolor="#A9D18E [1945]" filled="t" stroked="t" coordsize="21600,21600" arcsize="0.166666666666667" o:gfxdata="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">
                <v:fill on="t" focussize="0,0"/>
                <v:stroke weight="3pt" color="#F2F2F2 [3201]" joinstyle="round"/>
                <v:imagedata o:title=""/>
                <o:lock v:ext="edit" aspectratio="f"/>
                <v:shadow on="t" color="#7F6000 [3207]" opacity="32768f" offset="1pt,2pt" origin="0f,0f" matrix="65536f,0f,0f,65536f"/>
                <v:textbox>
                  <w:txbxContent>
                    <w:p>
                      <w:pPr>
                        <w:ind w:right="-36"/>
                        <w:jc w:val="center"/>
                      </w:pPr>
                      <w:r>
                        <w:t>Sub Bagian Pemanfaatan BMD</w:t>
                      </w:r>
                    </w:p>
                  </w:txbxContent>
                </v:textbox>
              </v:roundrect>
            </w:pict>
          </mc:Fallback>
        </mc:AlternateContent>
      </w:r>
      <w:r>
        <w:rPr>
          <w:lang w:eastAsia="id-ID"/>
        </w:rPr>
        <mc:AlternateContent>
          <mc:Choice Requires="wps">
            <w:drawing>
              <wp:anchor distT="0" distB="0" distL="114300" distR="114300" simplePos="0" relativeHeight="251700224" behindDoc="0" locked="0" layoutInCell="1" allowOverlap="1">
                <wp:simplePos x="0" y="0"/>
                <wp:positionH relativeFrom="margin">
                  <wp:posOffset>4010025</wp:posOffset>
                </wp:positionH>
                <wp:positionV relativeFrom="paragraph">
                  <wp:posOffset>2146935</wp:posOffset>
                </wp:positionV>
                <wp:extent cx="1771650" cy="590550"/>
                <wp:effectExtent l="19050" t="19050" r="38100" b="57150"/>
                <wp:wrapNone/>
                <wp:docPr id="41" name="Rounded Rectangle 41"/>
                <wp:cNvGraphicFramePr/>
                <a:graphic xmlns:a="http://schemas.openxmlformats.org/drawingml/2006/main">
                  <a:graphicData uri="http://schemas.microsoft.com/office/word/2010/wordprocessingShape">
                    <wps:wsp>
                      <wps:cNvSpPr>
                        <a:spLocks noChangeArrowheads="1"/>
                      </wps:cNvSpPr>
                      <wps:spPr bwMode="auto">
                        <a:xfrm>
                          <a:off x="0" y="0"/>
                          <a:ext cx="1771650" cy="590550"/>
                        </a:xfrm>
                        <a:prstGeom prst="roundRect">
                          <a:avLst>
                            <a:gd name="adj" fmla="val 16667"/>
                          </a:avLst>
                        </a:prstGeom>
                        <a:solidFill>
                          <a:schemeClr val="accent6">
                            <a:lumMod val="60000"/>
                            <a:lumOff val="40000"/>
                          </a:schemeClr>
                        </a:solidFill>
                        <a:ln w="38100">
                          <a:solidFill>
                            <a:schemeClr val="lt1">
                              <a:lumMod val="95000"/>
                              <a:lumOff val="0"/>
                            </a:schemeClr>
                          </a:solidFill>
                          <a:round/>
                        </a:ln>
                        <a:effectLst>
                          <a:outerShdw dist="28398" dir="3806097" algn="ctr" rotWithShape="0">
                            <a:schemeClr val="accent4">
                              <a:lumMod val="50000"/>
                              <a:lumOff val="0"/>
                              <a:alpha val="50000"/>
                            </a:schemeClr>
                          </a:outerShdw>
                        </a:effectLst>
                      </wps:spPr>
                      <wps:txbx>
                        <w:txbxContent>
                          <w:p>
                            <w:pPr>
                              <w:ind w:right="-36"/>
                              <w:jc w:val="center"/>
                            </w:pPr>
                            <w:r>
                              <w:t>Sub Bagian Penatausahaan BMD</w:t>
                            </w:r>
                          </w:p>
                        </w:txbxContent>
                      </wps:txbx>
                      <wps:bodyPr rot="0" vert="horz" wrap="square" lIns="91440" tIns="45720" rIns="91440" bIns="45720" anchor="t" anchorCtr="0" upright="1">
                        <a:noAutofit/>
                      </wps:bodyPr>
                    </wps:wsp>
                  </a:graphicData>
                </a:graphic>
              </wp:anchor>
            </w:drawing>
          </mc:Choice>
          <mc:Fallback>
            <w:pict>
              <v:roundrect id="Rounded Rectangle 41" o:spid="_x0000_s1026" o:spt="2" style="position:absolute;left:0pt;margin-left:315.75pt;margin-top:169.05pt;height:46.5pt;width:139.5pt;mso-position-horizontal-relative:margin;z-index:251700224;mso-width-relative:page;mso-height-relative:page;" fillcolor="#A9D18E [1945]" filled="t" stroked="t" coordsize="21600,21600" arcsize="0.166666666666667" o:gfxdata="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">
                <v:fill on="t" focussize="0,0"/>
                <v:stroke weight="3pt" color="#F2F2F2 [3201]" joinstyle="round"/>
                <v:imagedata o:title=""/>
                <o:lock v:ext="edit" aspectratio="f"/>
                <v:shadow on="t" color="#7F6000 [3207]" opacity="32768f" offset="1pt,2pt" origin="0f,0f" matrix="65536f,0f,0f,65536f"/>
                <v:textbox>
                  <w:txbxContent>
                    <w:p>
                      <w:pPr>
                        <w:ind w:right="-36"/>
                        <w:jc w:val="center"/>
                      </w:pPr>
                      <w:r>
                        <w:t>Sub Bagian Penatausahaan BMD</w:t>
                      </w:r>
                    </w:p>
                  </w:txbxContent>
                </v:textbox>
              </v:roundrect>
            </w:pict>
          </mc:Fallback>
        </mc:AlternateContent>
      </w:r>
      <w:r>
        <w:rPr>
          <w:lang w:eastAsia="id-ID"/>
        </w:rPr>
        <mc:AlternateContent>
          <mc:Choice Requires="wps">
            <w:drawing>
              <wp:anchor distT="0" distB="0" distL="114300" distR="114300" simplePos="0" relativeHeight="251694080" behindDoc="0" locked="0" layoutInCell="1" allowOverlap="1">
                <wp:simplePos x="0" y="0"/>
                <wp:positionH relativeFrom="column">
                  <wp:posOffset>-9525</wp:posOffset>
                </wp:positionH>
                <wp:positionV relativeFrom="paragraph">
                  <wp:posOffset>4042410</wp:posOffset>
                </wp:positionV>
                <wp:extent cx="1714500" cy="600075"/>
                <wp:effectExtent l="19050" t="19050" r="38100" b="66675"/>
                <wp:wrapNone/>
                <wp:docPr id="36" name="Rounded Rectangle 36"/>
                <wp:cNvGraphicFramePr/>
                <a:graphic xmlns:a="http://schemas.openxmlformats.org/drawingml/2006/main">
                  <a:graphicData uri="http://schemas.microsoft.com/office/word/2010/wordprocessingShape">
                    <wps:wsp>
                      <wps:cNvSpPr>
                        <a:spLocks noChangeArrowheads="1"/>
                      </wps:cNvSpPr>
                      <wps:spPr bwMode="auto">
                        <a:xfrm>
                          <a:off x="0" y="0"/>
                          <a:ext cx="1714500" cy="600075"/>
                        </a:xfrm>
                        <a:prstGeom prst="roundRect">
                          <a:avLst>
                            <a:gd name="adj" fmla="val 16667"/>
                          </a:avLst>
                        </a:prstGeom>
                        <a:solidFill>
                          <a:schemeClr val="accent6">
                            <a:lumMod val="60000"/>
                            <a:lumOff val="40000"/>
                          </a:schemeClr>
                        </a:solidFill>
                        <a:ln w="38100">
                          <a:solidFill>
                            <a:schemeClr val="lt1">
                              <a:lumMod val="95000"/>
                              <a:lumOff val="0"/>
                            </a:schemeClr>
                          </a:solidFill>
                          <a:round/>
                        </a:ln>
                        <a:effectLst>
                          <a:outerShdw dist="28398" dir="3806097" algn="ctr" rotWithShape="0">
                            <a:schemeClr val="accent4">
                              <a:lumMod val="50000"/>
                              <a:lumOff val="0"/>
                              <a:alpha val="50000"/>
                            </a:schemeClr>
                          </a:outerShdw>
                        </a:effectLst>
                      </wps:spPr>
                      <wps:txbx>
                        <w:txbxContent>
                          <w:p>
                            <w:pPr>
                              <w:jc w:val="center"/>
                            </w:pPr>
                            <w:r>
                              <w:t>Sub Bagian Fasilitasi dan Pembinaan</w:t>
                            </w:r>
                          </w:p>
                        </w:txbxContent>
                      </wps:txbx>
                      <wps:bodyPr rot="0" vert="horz" wrap="square" lIns="91440" tIns="45720" rIns="91440" bIns="45720" anchor="t" anchorCtr="0" upright="1">
                        <a:noAutofit/>
                      </wps:bodyPr>
                    </wps:wsp>
                  </a:graphicData>
                </a:graphic>
              </wp:anchor>
            </w:drawing>
          </mc:Choice>
          <mc:Fallback>
            <w:pict>
              <v:roundrect id="Rounded Rectangle 36" o:spid="_x0000_s1026" o:spt="2" style="position:absolute;left:0pt;margin-left:-0.75pt;margin-top:318.3pt;height:47.25pt;width:135pt;z-index:251694080;mso-width-relative:page;mso-height-relative:page;" fillcolor="#A9D18E [1945]" filled="t" stroked="t" coordsize="21600,21600" arcsize="0.166666666666667" o:gfxdata="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">
                <v:fill on="t" focussize="0,0"/>
                <v:stroke weight="3pt" color="#F2F2F2 [3201]" joinstyle="round"/>
                <v:imagedata o:title=""/>
                <o:lock v:ext="edit" aspectratio="f"/>
                <v:shadow on="t" color="#7F6000 [3207]" opacity="32768f" offset="1pt,2pt" origin="0f,0f" matrix="65536f,0f,0f,65536f"/>
                <v:textbox>
                  <w:txbxContent>
                    <w:p>
                      <w:pPr>
                        <w:jc w:val="center"/>
                      </w:pPr>
                      <w:r>
                        <w:t>Sub Bagian Fasilitasi dan Pembinaan</w:t>
                      </w:r>
                    </w:p>
                  </w:txbxContent>
                </v:textbox>
              </v:roundrect>
            </w:pict>
          </mc:Fallback>
        </mc:AlternateContent>
      </w:r>
      <w:r>
        <w:rPr>
          <w:lang w:eastAsia="id-ID"/>
        </w:rPr>
        <mc:AlternateContent>
          <mc:Choice Requires="wps">
            <w:drawing>
              <wp:anchor distT="0" distB="0" distL="114300" distR="114300" simplePos="0" relativeHeight="251757568" behindDoc="0" locked="0" layoutInCell="1" allowOverlap="1">
                <wp:simplePos x="0" y="0"/>
                <wp:positionH relativeFrom="column">
                  <wp:posOffset>-171450</wp:posOffset>
                </wp:positionH>
                <wp:positionV relativeFrom="paragraph">
                  <wp:posOffset>3371850</wp:posOffset>
                </wp:positionV>
                <wp:extent cx="171450" cy="0"/>
                <wp:effectExtent l="0" t="0" r="19050" b="19050"/>
                <wp:wrapNone/>
                <wp:docPr id="4" name="Straight Connector 4"/>
                <wp:cNvGraphicFramePr/>
                <a:graphic xmlns:a="http://schemas.openxmlformats.org/drawingml/2006/main">
                  <a:graphicData uri="http://schemas.microsoft.com/office/word/2010/wordprocessingShape">
                    <wps:wsp>
                      <wps:cNvCnPr/>
                      <wps:spPr>
                        <a:xfrm>
                          <a:off x="0" y="0"/>
                          <a:ext cx="171450" cy="0"/>
                        </a:xfrm>
                        <a:prstGeom prst="line">
                          <a:avLst/>
                        </a:prstGeom>
                        <a:noFill/>
                        <a:ln w="6350" cap="flat" cmpd="sng" algn="ctr">
                          <a:solidFill>
                            <a:sysClr val="windowText" lastClr="000000"/>
                          </a:solidFill>
                          <a:prstDash val="solid"/>
                          <a:miter lim="800000"/>
                        </a:ln>
                        <a:effectLst/>
                      </wps:spPr>
                      <wps:bodyPr/>
                    </wps:wsp>
                  </a:graphicData>
                </a:graphic>
              </wp:anchor>
            </w:drawing>
          </mc:Choice>
          <mc:Fallback>
            <w:pict>
              <v:line id="Straight Connector 4" o:spid="_x0000_s1026" o:spt="20" style="position:absolute;left:0pt;margin-left:-13.5pt;margin-top:265.5pt;height:0pt;width:13.5pt;z-index:251757568;mso-width-relative:page;mso-height-relative:page;" filled="f" stroked="t" coordsize="21600,21600" o:gfxdata="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">
                <v:fill on="f" focussize="0,0"/>
                <v:stroke weight="0.5pt" color="#000000" miterlimit="8" joinstyle="miter"/>
                <v:imagedata o:title=""/>
                <o:lock v:ext="edit" aspectratio="f"/>
              </v:line>
            </w:pict>
          </mc:Fallback>
        </mc:AlternateContent>
      </w:r>
      <w:r>
        <w:rPr>
          <w:lang w:eastAsia="id-ID"/>
        </w:rPr>
        <mc:AlternateContent>
          <mc:Choice Requires="wps">
            <w:drawing>
              <wp:anchor distT="0" distB="0" distL="114300" distR="114300" simplePos="0" relativeHeight="251761664" behindDoc="0" locked="0" layoutInCell="1" allowOverlap="1">
                <wp:simplePos x="0" y="0"/>
                <wp:positionH relativeFrom="column">
                  <wp:posOffset>-171450</wp:posOffset>
                </wp:positionH>
                <wp:positionV relativeFrom="paragraph">
                  <wp:posOffset>4343400</wp:posOffset>
                </wp:positionV>
                <wp:extent cx="171450" cy="0"/>
                <wp:effectExtent l="0" t="0" r="19050" b="19050"/>
                <wp:wrapNone/>
                <wp:docPr id="7" name="Straight Connector 7"/>
                <wp:cNvGraphicFramePr/>
                <a:graphic xmlns:a="http://schemas.openxmlformats.org/drawingml/2006/main">
                  <a:graphicData uri="http://schemas.microsoft.com/office/word/2010/wordprocessingShape">
                    <wps:wsp>
                      <wps:cNvCnPr/>
                      <wps:spPr>
                        <a:xfrm>
                          <a:off x="0" y="0"/>
                          <a:ext cx="171450" cy="0"/>
                        </a:xfrm>
                        <a:prstGeom prst="line">
                          <a:avLst/>
                        </a:prstGeom>
                        <a:noFill/>
                        <a:ln w="6350" cap="flat" cmpd="sng" algn="ctr">
                          <a:solidFill>
                            <a:sysClr val="windowText" lastClr="000000"/>
                          </a:solidFill>
                          <a:prstDash val="solid"/>
                          <a:miter lim="800000"/>
                        </a:ln>
                        <a:effectLst/>
                      </wps:spPr>
                      <wps:bodyPr/>
                    </wps:wsp>
                  </a:graphicData>
                </a:graphic>
              </wp:anchor>
            </w:drawing>
          </mc:Choice>
          <mc:Fallback>
            <w:pict>
              <v:line id="Straight Connector 7" o:spid="_x0000_s1026" o:spt="20" style="position:absolute;left:0pt;margin-left:-13.5pt;margin-top:342pt;height:0pt;width:13.5pt;z-index:251761664;mso-width-relative:page;mso-height-relative:page;" filled="f" stroked="t" coordsize="21600,21600" o:gfxdata="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">
                <v:fill on="f" focussize="0,0"/>
                <v:stroke weight="0.5pt" color="#000000" miterlimit="8" joinstyle="miter"/>
                <v:imagedata o:title=""/>
                <o:lock v:ext="edit" aspectratio="f"/>
              </v:line>
            </w:pict>
          </mc:Fallback>
        </mc:AlternateContent>
      </w:r>
      <w:r>
        <w:rPr>
          <w:lang w:eastAsia="id-ID"/>
        </w:rPr>
        <mc:AlternateContent>
          <mc:Choice Requires="wps">
            <w:drawing>
              <wp:anchor distT="0" distB="0" distL="114300" distR="114300" simplePos="0" relativeHeight="251765760" behindDoc="0" locked="0" layoutInCell="1" allowOverlap="1">
                <wp:simplePos x="0" y="0"/>
                <wp:positionH relativeFrom="column">
                  <wp:posOffset>1819275</wp:posOffset>
                </wp:positionH>
                <wp:positionV relativeFrom="paragraph">
                  <wp:posOffset>1857375</wp:posOffset>
                </wp:positionV>
                <wp:extent cx="0" cy="2505075"/>
                <wp:effectExtent l="0" t="0" r="19050" b="28575"/>
                <wp:wrapNone/>
                <wp:docPr id="9" name="Straight Connector 9"/>
                <wp:cNvGraphicFramePr/>
                <a:graphic xmlns:a="http://schemas.openxmlformats.org/drawingml/2006/main">
                  <a:graphicData uri="http://schemas.microsoft.com/office/word/2010/wordprocessingShape">
                    <wps:wsp>
                      <wps:cNvCnPr/>
                      <wps:spPr>
                        <a:xfrm>
                          <a:off x="0" y="0"/>
                          <a:ext cx="0" cy="2505075"/>
                        </a:xfrm>
                        <a:prstGeom prst="line">
                          <a:avLst/>
                        </a:prstGeom>
                        <a:noFill/>
                        <a:ln w="6350" cap="flat" cmpd="sng" algn="ctr">
                          <a:solidFill>
                            <a:sysClr val="windowText" lastClr="000000"/>
                          </a:solidFill>
                          <a:prstDash val="solid"/>
                          <a:miter lim="800000"/>
                        </a:ln>
                        <a:effectLst/>
                      </wps:spPr>
                      <wps:bodyPr/>
                    </wps:wsp>
                  </a:graphicData>
                </a:graphic>
              </wp:anchor>
            </w:drawing>
          </mc:Choice>
          <mc:Fallback>
            <w:pict>
              <v:line id="Straight Connector 9" o:spid="_x0000_s1026" o:spt="20" style="position:absolute;left:0pt;margin-left:143.25pt;margin-top:146.25pt;height:197.25pt;width:0pt;z-index:251765760;mso-width-relative:page;mso-height-relative:page;" filled="f" stroked="t" coordsize="21600,21600" o:gfxdata="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">
                <v:fill on="f" focussize="0,0"/>
                <v:stroke weight="0.5pt" color="#000000" miterlimit="8" joinstyle="miter"/>
                <v:imagedata o:title=""/>
                <o:lock v:ext="edit" aspectratio="f"/>
              </v:line>
            </w:pict>
          </mc:Fallback>
        </mc:AlternateContent>
      </w:r>
      <w:r>
        <w:rPr>
          <w:lang w:eastAsia="id-ID"/>
        </w:rPr>
        <mc:AlternateContent>
          <mc:Choice Requires="wps">
            <w:drawing>
              <wp:anchor distT="0" distB="0" distL="114300" distR="114300" simplePos="0" relativeHeight="251763712" behindDoc="0" locked="0" layoutInCell="1" allowOverlap="1">
                <wp:simplePos x="0" y="0"/>
                <wp:positionH relativeFrom="column">
                  <wp:posOffset>-171450</wp:posOffset>
                </wp:positionH>
                <wp:positionV relativeFrom="paragraph">
                  <wp:posOffset>1838325</wp:posOffset>
                </wp:positionV>
                <wp:extent cx="0" cy="2505075"/>
                <wp:effectExtent l="0" t="0" r="19050" b="28575"/>
                <wp:wrapNone/>
                <wp:docPr id="8" name="Straight Connector 8"/>
                <wp:cNvGraphicFramePr/>
                <a:graphic xmlns:a="http://schemas.openxmlformats.org/drawingml/2006/main">
                  <a:graphicData uri="http://schemas.microsoft.com/office/word/2010/wordprocessingShape">
                    <wps:wsp>
                      <wps:cNvCnPr/>
                      <wps:spPr>
                        <a:xfrm>
                          <a:off x="0" y="0"/>
                          <a:ext cx="0" cy="2505075"/>
                        </a:xfrm>
                        <a:prstGeom prst="line">
                          <a:avLst/>
                        </a:prstGeom>
                        <a:noFill/>
                        <a:ln w="6350" cap="flat" cmpd="sng" algn="ctr">
                          <a:solidFill>
                            <a:sysClr val="windowText" lastClr="000000"/>
                          </a:solidFill>
                          <a:prstDash val="solid"/>
                          <a:miter lim="800000"/>
                        </a:ln>
                        <a:effectLst/>
                      </wps:spPr>
                      <wps:bodyPr/>
                    </wps:wsp>
                  </a:graphicData>
                </a:graphic>
              </wp:anchor>
            </w:drawing>
          </mc:Choice>
          <mc:Fallback>
            <w:pict>
              <v:line id="Straight Connector 8" o:spid="_x0000_s1026" o:spt="20" style="position:absolute;left:0pt;margin-left:-13.5pt;margin-top:144.75pt;height:197.25pt;width:0pt;z-index:251763712;mso-width-relative:page;mso-height-relative:page;" filled="f" stroked="t" coordsize="21600,21600" o:gfxdata="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">
                <v:fill on="f" focussize="0,0"/>
                <v:stroke weight="0.5pt" color="#000000" miterlimit="8" joinstyle="miter"/>
                <v:imagedata o:title=""/>
                <o:lock v:ext="edit" aspectratio="f"/>
              </v:line>
            </w:pict>
          </mc:Fallback>
        </mc:AlternateContent>
      </w:r>
      <w:r>
        <w:rPr>
          <w:lang w:eastAsia="id-ID"/>
        </w:rPr>
        <mc:AlternateContent>
          <mc:Choice Requires="wps">
            <w:drawing>
              <wp:anchor distT="0" distB="0" distL="114300" distR="114300" simplePos="0" relativeHeight="251759616" behindDoc="0" locked="0" layoutInCell="1" allowOverlap="1">
                <wp:simplePos x="0" y="0"/>
                <wp:positionH relativeFrom="column">
                  <wp:posOffset>-171450</wp:posOffset>
                </wp:positionH>
                <wp:positionV relativeFrom="paragraph">
                  <wp:posOffset>2457450</wp:posOffset>
                </wp:positionV>
                <wp:extent cx="171450" cy="0"/>
                <wp:effectExtent l="0" t="0" r="19050" b="19050"/>
                <wp:wrapNone/>
                <wp:docPr id="5" name="Straight Connector 5"/>
                <wp:cNvGraphicFramePr/>
                <a:graphic xmlns:a="http://schemas.openxmlformats.org/drawingml/2006/main">
                  <a:graphicData uri="http://schemas.microsoft.com/office/word/2010/wordprocessingShape">
                    <wps:wsp>
                      <wps:cNvCnPr/>
                      <wps:spPr>
                        <a:xfrm>
                          <a:off x="0" y="0"/>
                          <a:ext cx="171450" cy="0"/>
                        </a:xfrm>
                        <a:prstGeom prst="line">
                          <a:avLst/>
                        </a:prstGeom>
                        <a:noFill/>
                        <a:ln w="6350" cap="flat" cmpd="sng" algn="ctr">
                          <a:solidFill>
                            <a:sysClr val="windowText" lastClr="000000"/>
                          </a:solidFill>
                          <a:prstDash val="solid"/>
                          <a:miter lim="800000"/>
                        </a:ln>
                        <a:effectLst/>
                      </wps:spPr>
                      <wps:bodyPr/>
                    </wps:wsp>
                  </a:graphicData>
                </a:graphic>
              </wp:anchor>
            </w:drawing>
          </mc:Choice>
          <mc:Fallback>
            <w:pict>
              <v:line id="Straight Connector 5" o:spid="_x0000_s1026" o:spt="20" style="position:absolute;left:0pt;margin-left:-13.5pt;margin-top:193.5pt;height:0pt;width:13.5pt;z-index:251759616;mso-width-relative:page;mso-height-relative:page;" filled="f" stroked="t" coordsize="21600,21600" o:gfxdata="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">
                <v:fill on="f" focussize="0,0"/>
                <v:stroke weight="0.5pt" color="#000000" miterlimit="8" joinstyle="miter"/>
                <v:imagedata o:title=""/>
                <o:lock v:ext="edit" aspectratio="f"/>
              </v:line>
            </w:pict>
          </mc:Fallback>
        </mc:AlternateContent>
      </w:r>
      <w:r>
        <w:rPr>
          <w:lang w:eastAsia="id-ID"/>
        </w:rPr>
        <w:drawing>
          <wp:inline distT="0" distB="0" distL="0" distR="0">
            <wp:extent cx="171450" cy="9525"/>
            <wp:effectExtent l="0" t="0" r="0"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171450" cy="9525"/>
                    </a:xfrm>
                    <a:prstGeom prst="rect">
                      <a:avLst/>
                    </a:prstGeom>
                    <a:noFill/>
                    <a:ln>
                      <a:noFill/>
                    </a:ln>
                  </pic:spPr>
                </pic:pic>
              </a:graphicData>
            </a:graphic>
          </wp:inline>
        </w:drawing>
      </w:r>
      <w:r>
        <w:rPr>
          <w:lang w:eastAsia="id-ID"/>
        </w:rPr>
        <mc:AlternateContent>
          <mc:Choice Requires="wps">
            <w:drawing>
              <wp:anchor distT="0" distB="0" distL="114300" distR="114300" simplePos="0" relativeHeight="251755520" behindDoc="0" locked="0" layoutInCell="1" allowOverlap="1">
                <wp:simplePos x="0" y="0"/>
                <wp:positionH relativeFrom="column">
                  <wp:posOffset>1828800</wp:posOffset>
                </wp:positionH>
                <wp:positionV relativeFrom="paragraph">
                  <wp:posOffset>2447925</wp:posOffset>
                </wp:positionV>
                <wp:extent cx="171450" cy="0"/>
                <wp:effectExtent l="0" t="0" r="19050" b="19050"/>
                <wp:wrapNone/>
                <wp:docPr id="3" name="Straight Connector 3"/>
                <wp:cNvGraphicFramePr/>
                <a:graphic xmlns:a="http://schemas.openxmlformats.org/drawingml/2006/main">
                  <a:graphicData uri="http://schemas.microsoft.com/office/word/2010/wordprocessingShape">
                    <wps:wsp>
                      <wps:cNvCnPr/>
                      <wps:spPr>
                        <a:xfrm>
                          <a:off x="0" y="0"/>
                          <a:ext cx="171450" cy="0"/>
                        </a:xfrm>
                        <a:prstGeom prst="line">
                          <a:avLst/>
                        </a:prstGeom>
                        <a:noFill/>
                        <a:ln w="6350" cap="flat" cmpd="sng" algn="ctr">
                          <a:solidFill>
                            <a:sysClr val="windowText" lastClr="000000"/>
                          </a:solidFill>
                          <a:prstDash val="solid"/>
                          <a:miter lim="800000"/>
                        </a:ln>
                        <a:effectLst/>
                      </wps:spPr>
                      <wps:bodyPr/>
                    </wps:wsp>
                  </a:graphicData>
                </a:graphic>
              </wp:anchor>
            </w:drawing>
          </mc:Choice>
          <mc:Fallback>
            <w:pict>
              <v:line id="Straight Connector 3" o:spid="_x0000_s1026" o:spt="20" style="position:absolute;left:0pt;margin-left:144pt;margin-top:192.75pt;height:0pt;width:13.5pt;z-index:251755520;mso-width-relative:page;mso-height-relative:page;" filled="f" stroked="t" coordsize="21600,21600" o:gfxdata="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">
                <v:fill on="f" focussize="0,0"/>
                <v:stroke weight="0.5pt" color="#000000" miterlimit="8" joinstyle="miter"/>
                <v:imagedata o:title=""/>
                <o:lock v:ext="edit" aspectratio="f"/>
              </v:line>
            </w:pict>
          </mc:Fallback>
        </mc:AlternateContent>
      </w:r>
      <w:r>
        <w:rPr>
          <w:lang w:eastAsia="id-ID"/>
        </w:rPr>
        <mc:AlternateContent>
          <mc:Choice Requires="wps">
            <w:drawing>
              <wp:anchor distT="0" distB="0" distL="114300" distR="114300" simplePos="0" relativeHeight="251753472" behindDoc="0" locked="0" layoutInCell="1" allowOverlap="1">
                <wp:simplePos x="0" y="0"/>
                <wp:positionH relativeFrom="column">
                  <wp:posOffset>1828800</wp:posOffset>
                </wp:positionH>
                <wp:positionV relativeFrom="paragraph">
                  <wp:posOffset>4352925</wp:posOffset>
                </wp:positionV>
                <wp:extent cx="171450" cy="0"/>
                <wp:effectExtent l="0" t="0" r="19050" b="19050"/>
                <wp:wrapNone/>
                <wp:docPr id="2" name="Straight Connector 2"/>
                <wp:cNvGraphicFramePr/>
                <a:graphic xmlns:a="http://schemas.openxmlformats.org/drawingml/2006/main">
                  <a:graphicData uri="http://schemas.microsoft.com/office/word/2010/wordprocessingShape">
                    <wps:wsp>
                      <wps:cNvCnPr/>
                      <wps:spPr>
                        <a:xfrm>
                          <a:off x="0" y="0"/>
                          <a:ext cx="171450" cy="0"/>
                        </a:xfrm>
                        <a:prstGeom prst="line">
                          <a:avLst/>
                        </a:prstGeom>
                        <a:noFill/>
                        <a:ln w="6350" cap="flat" cmpd="sng" algn="ctr">
                          <a:solidFill>
                            <a:sysClr val="windowText" lastClr="000000"/>
                          </a:solidFill>
                          <a:prstDash val="solid"/>
                          <a:miter lim="800000"/>
                        </a:ln>
                        <a:effectLst/>
                      </wps:spPr>
                      <wps:bodyPr/>
                    </wps:wsp>
                  </a:graphicData>
                </a:graphic>
              </wp:anchor>
            </w:drawing>
          </mc:Choice>
          <mc:Fallback>
            <w:pict>
              <v:line id="Straight Connector 2" o:spid="_x0000_s1026" o:spt="20" style="position:absolute;left:0pt;margin-left:144pt;margin-top:342.75pt;height:0pt;width:13.5pt;z-index:251753472;mso-width-relative:page;mso-height-relative:page;" filled="f" stroked="t" coordsize="21600,21600" o:gfxdata="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">
                <v:fill on="f" focussize="0,0"/>
                <v:stroke weight="0.5pt" color="#000000" miterlimit="8" joinstyle="miter"/>
                <v:imagedata o:title=""/>
                <o:lock v:ext="edit" aspectratio="f"/>
              </v:line>
            </w:pict>
          </mc:Fallback>
        </mc:AlternateContent>
      </w:r>
      <w:r>
        <w:rPr>
          <w:lang w:eastAsia="id-ID"/>
        </w:rPr>
        <mc:AlternateContent>
          <mc:Choice Requires="wps">
            <w:drawing>
              <wp:anchor distT="0" distB="0" distL="114300" distR="114300" simplePos="0" relativeHeight="251749376" behindDoc="0" locked="0" layoutInCell="1" allowOverlap="1">
                <wp:simplePos x="0" y="0"/>
                <wp:positionH relativeFrom="column">
                  <wp:posOffset>1828800</wp:posOffset>
                </wp:positionH>
                <wp:positionV relativeFrom="paragraph">
                  <wp:posOffset>3385185</wp:posOffset>
                </wp:positionV>
                <wp:extent cx="171450" cy="0"/>
                <wp:effectExtent l="0" t="0" r="19050" b="19050"/>
                <wp:wrapNone/>
                <wp:docPr id="85" name="Straight Connector 85"/>
                <wp:cNvGraphicFramePr/>
                <a:graphic xmlns:a="http://schemas.openxmlformats.org/drawingml/2006/main">
                  <a:graphicData uri="http://schemas.microsoft.com/office/word/2010/wordprocessingShape">
                    <wps:wsp>
                      <wps:cNvCnPr/>
                      <wps:spPr>
                        <a:xfrm>
                          <a:off x="0" y="0"/>
                          <a:ext cx="1714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85" o:spid="_x0000_s1026" o:spt="20" style="position:absolute;left:0pt;margin-left:144pt;margin-top:266.55pt;height:0pt;width:13.5pt;z-index:251749376;mso-width-relative:page;mso-height-relative:page;" filled="f" stroked="t" coordsize="21600,21600" o:gfxdata="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">
                <v:fill on="f" focussize="0,0"/>
                <v:stroke weight="0.5pt" color="#000000 [3200]" miterlimit="8" joinstyle="miter"/>
                <v:imagedata o:title=""/>
                <o:lock v:ext="edit" aspectratio="f"/>
              </v:line>
            </w:pict>
          </mc:Fallback>
        </mc:AlternateContent>
      </w:r>
      <w:r>
        <w:rPr>
          <w:lang w:eastAsia="id-ID"/>
        </w:rPr>
        <mc:AlternateContent>
          <mc:Choice Requires="wps">
            <w:drawing>
              <wp:anchor distT="0" distB="0" distL="114300" distR="114300" simplePos="0" relativeHeight="251693056" behindDoc="0" locked="0" layoutInCell="1" allowOverlap="1">
                <wp:simplePos x="0" y="0"/>
                <wp:positionH relativeFrom="column">
                  <wp:posOffset>2037715</wp:posOffset>
                </wp:positionH>
                <wp:positionV relativeFrom="paragraph">
                  <wp:posOffset>3070860</wp:posOffset>
                </wp:positionV>
                <wp:extent cx="1647825" cy="609600"/>
                <wp:effectExtent l="19050" t="19050" r="47625" b="57150"/>
                <wp:wrapNone/>
                <wp:docPr id="38" name="Rounded Rectangle 38"/>
                <wp:cNvGraphicFramePr/>
                <a:graphic xmlns:a="http://schemas.openxmlformats.org/drawingml/2006/main">
                  <a:graphicData uri="http://schemas.microsoft.com/office/word/2010/wordprocessingShape">
                    <wps:wsp>
                      <wps:cNvSpPr>
                        <a:spLocks noChangeArrowheads="1"/>
                      </wps:cNvSpPr>
                      <wps:spPr bwMode="auto">
                        <a:xfrm>
                          <a:off x="0" y="0"/>
                          <a:ext cx="1647825" cy="609600"/>
                        </a:xfrm>
                        <a:prstGeom prst="roundRect">
                          <a:avLst>
                            <a:gd name="adj" fmla="val 16667"/>
                          </a:avLst>
                        </a:prstGeom>
                        <a:solidFill>
                          <a:schemeClr val="accent6">
                            <a:lumMod val="60000"/>
                            <a:lumOff val="40000"/>
                          </a:schemeClr>
                        </a:solidFill>
                        <a:ln w="38100">
                          <a:solidFill>
                            <a:schemeClr val="lt1">
                              <a:lumMod val="95000"/>
                              <a:lumOff val="0"/>
                            </a:schemeClr>
                          </a:solidFill>
                          <a:round/>
                        </a:ln>
                        <a:effectLst>
                          <a:outerShdw dist="28398" dir="3806097" algn="ctr" rotWithShape="0">
                            <a:schemeClr val="accent4">
                              <a:lumMod val="50000"/>
                              <a:lumOff val="0"/>
                              <a:alpha val="50000"/>
                            </a:schemeClr>
                          </a:outerShdw>
                        </a:effectLst>
                      </wps:spPr>
                      <wps:txbx>
                        <w:txbxContent>
                          <w:p>
                            <w:pPr>
                              <w:spacing w:line="240" w:lineRule="auto"/>
                              <w:jc w:val="center"/>
                            </w:pPr>
                            <w:r>
                              <w:t>Sub Bagian Pelaksanaan Pengadaan barang/Jasa</w:t>
                            </w:r>
                          </w:p>
                        </w:txbxContent>
                      </wps:txbx>
                      <wps:bodyPr rot="0" vert="horz" wrap="square" lIns="91440" tIns="45720" rIns="91440" bIns="45720" anchor="t" anchorCtr="0" upright="1">
                        <a:noAutofit/>
                      </wps:bodyPr>
                    </wps:wsp>
                  </a:graphicData>
                </a:graphic>
              </wp:anchor>
            </w:drawing>
          </mc:Choice>
          <mc:Fallback>
            <w:pict>
              <v:roundrect id="Rounded Rectangle 38" o:spid="_x0000_s1026" o:spt="2" style="position:absolute;left:0pt;margin-left:160.45pt;margin-top:241.8pt;height:48pt;width:129.75pt;z-index:251693056;mso-width-relative:page;mso-height-relative:page;" fillcolor="#A9D18E [1945]" filled="t" stroked="t" coordsize="21600,21600" arcsize="0.166666666666667" o:gfxdata="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">
                <v:fill on="t" focussize="0,0"/>
                <v:stroke weight="3pt" color="#F2F2F2 [3201]" joinstyle="round"/>
                <v:imagedata o:title=""/>
                <o:lock v:ext="edit" aspectratio="f"/>
                <v:shadow on="t" color="#7F6000 [3207]" opacity="32768f" offset="1pt,2pt" origin="0f,0f" matrix="65536f,0f,0f,65536f"/>
                <v:textbox>
                  <w:txbxContent>
                    <w:p>
                      <w:pPr>
                        <w:spacing w:line="240" w:lineRule="auto"/>
                        <w:jc w:val="center"/>
                      </w:pPr>
                      <w:r>
                        <w:t>Sub Bagian Pelaksanaan Pengadaan barang/Jasa</w:t>
                      </w:r>
                    </w:p>
                  </w:txbxContent>
                </v:textbox>
              </v:roundrect>
            </w:pict>
          </mc:Fallback>
        </mc:AlternateContent>
      </w:r>
      <w:r>
        <w:rPr>
          <w:lang w:eastAsia="id-ID"/>
        </w:rPr>
        <mc:AlternateContent>
          <mc:Choice Requires="wps">
            <w:drawing>
              <wp:anchor distT="0" distB="0" distL="114300" distR="114300" simplePos="0" relativeHeight="251695104" behindDoc="0" locked="0" layoutInCell="1" allowOverlap="1">
                <wp:simplePos x="0" y="0"/>
                <wp:positionH relativeFrom="column">
                  <wp:posOffset>28575</wp:posOffset>
                </wp:positionH>
                <wp:positionV relativeFrom="paragraph">
                  <wp:posOffset>2146935</wp:posOffset>
                </wp:positionV>
                <wp:extent cx="1619250" cy="590550"/>
                <wp:effectExtent l="19050" t="19050" r="38100" b="57150"/>
                <wp:wrapNone/>
                <wp:docPr id="40" name="Rounded Rectangle 40"/>
                <wp:cNvGraphicFramePr/>
                <a:graphic xmlns:a="http://schemas.openxmlformats.org/drawingml/2006/main">
                  <a:graphicData uri="http://schemas.microsoft.com/office/word/2010/wordprocessingShape">
                    <wps:wsp>
                      <wps:cNvSpPr>
                        <a:spLocks noChangeArrowheads="1"/>
                      </wps:cNvSpPr>
                      <wps:spPr bwMode="auto">
                        <a:xfrm>
                          <a:off x="0" y="0"/>
                          <a:ext cx="1619250" cy="590550"/>
                        </a:xfrm>
                        <a:prstGeom prst="roundRect">
                          <a:avLst>
                            <a:gd name="adj" fmla="val 16667"/>
                          </a:avLst>
                        </a:prstGeom>
                        <a:solidFill>
                          <a:schemeClr val="accent6">
                            <a:lumMod val="60000"/>
                            <a:lumOff val="40000"/>
                          </a:schemeClr>
                        </a:solidFill>
                        <a:ln w="38100">
                          <a:solidFill>
                            <a:schemeClr val="lt1">
                              <a:lumMod val="95000"/>
                              <a:lumOff val="0"/>
                            </a:schemeClr>
                          </a:solidFill>
                          <a:round/>
                        </a:ln>
                        <a:effectLst>
                          <a:outerShdw dist="28398" dir="3806097" algn="ctr" rotWithShape="0">
                            <a:schemeClr val="accent4">
                              <a:lumMod val="50000"/>
                              <a:lumOff val="0"/>
                              <a:alpha val="50000"/>
                            </a:schemeClr>
                          </a:outerShdw>
                        </a:effectLst>
                      </wps:spPr>
                      <wps:txbx>
                        <w:txbxContent>
                          <w:p>
                            <w:pPr>
                              <w:spacing w:after="0"/>
                              <w:jc w:val="center"/>
                            </w:pPr>
                            <w:r>
                              <w:t>Sub Bagian Tata Usaha</w:t>
                            </w:r>
                          </w:p>
                        </w:txbxContent>
                      </wps:txbx>
                      <wps:bodyPr rot="0" vert="horz" wrap="square" lIns="91440" tIns="45720" rIns="91440" bIns="45720" anchor="t" anchorCtr="0" upright="1">
                        <a:noAutofit/>
                      </wps:bodyPr>
                    </wps:wsp>
                  </a:graphicData>
                </a:graphic>
              </wp:anchor>
            </w:drawing>
          </mc:Choice>
          <mc:Fallback>
            <w:pict>
              <v:roundrect id="Rounded Rectangle 40" o:spid="_x0000_s1026" o:spt="2" style="position:absolute;left:0pt;margin-left:2.25pt;margin-top:169.05pt;height:46.5pt;width:127.5pt;z-index:251695104;mso-width-relative:page;mso-height-relative:page;" fillcolor="#A9D18E [1945]" filled="t" stroked="t" coordsize="21600,21600" arcsize="0.166666666666667" o:gfxdata="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">
                <v:fill on="t" focussize="0,0"/>
                <v:stroke weight="3pt" color="#F2F2F2 [3201]" joinstyle="round"/>
                <v:imagedata o:title=""/>
                <o:lock v:ext="edit" aspectratio="f"/>
                <v:shadow on="t" color="#7F6000 [3207]" opacity="32768f" offset="1pt,2pt" origin="0f,0f" matrix="65536f,0f,0f,65536f"/>
                <v:textbox>
                  <w:txbxContent>
                    <w:p>
                      <w:pPr>
                        <w:spacing w:after="0"/>
                        <w:jc w:val="center"/>
                      </w:pPr>
                      <w:r>
                        <w:t>Sub Bagian Tata Usaha</w:t>
                      </w:r>
                    </w:p>
                  </w:txbxContent>
                </v:textbox>
              </v:roundrect>
            </w:pict>
          </mc:Fallback>
        </mc:AlternateContent>
      </w:r>
      <w:r>
        <w:rPr>
          <w:lang w:eastAsia="id-ID"/>
        </w:rPr>
        <mc:AlternateContent>
          <mc:Choice Requires="wps">
            <w:drawing>
              <wp:anchor distT="0" distB="0" distL="114300" distR="114300" simplePos="0" relativeHeight="251696128" behindDoc="0" locked="0" layoutInCell="1" allowOverlap="1">
                <wp:simplePos x="0" y="0"/>
                <wp:positionH relativeFrom="column">
                  <wp:posOffset>2009140</wp:posOffset>
                </wp:positionH>
                <wp:positionV relativeFrom="paragraph">
                  <wp:posOffset>2156460</wp:posOffset>
                </wp:positionV>
                <wp:extent cx="1697355" cy="590550"/>
                <wp:effectExtent l="19050" t="19050" r="36195" b="57150"/>
                <wp:wrapNone/>
                <wp:docPr id="34" name="Rounded Rectangle 34"/>
                <wp:cNvGraphicFramePr/>
                <a:graphic xmlns:a="http://schemas.openxmlformats.org/drawingml/2006/main">
                  <a:graphicData uri="http://schemas.microsoft.com/office/word/2010/wordprocessingShape">
                    <wps:wsp>
                      <wps:cNvSpPr>
                        <a:spLocks noChangeArrowheads="1"/>
                      </wps:cNvSpPr>
                      <wps:spPr bwMode="auto">
                        <a:xfrm>
                          <a:off x="0" y="0"/>
                          <a:ext cx="1697355" cy="590550"/>
                        </a:xfrm>
                        <a:prstGeom prst="roundRect">
                          <a:avLst>
                            <a:gd name="adj" fmla="val 16667"/>
                          </a:avLst>
                        </a:prstGeom>
                        <a:solidFill>
                          <a:schemeClr val="accent6">
                            <a:lumMod val="60000"/>
                            <a:lumOff val="40000"/>
                          </a:schemeClr>
                        </a:solidFill>
                        <a:ln w="38100">
                          <a:solidFill>
                            <a:schemeClr val="lt1">
                              <a:lumMod val="95000"/>
                              <a:lumOff val="0"/>
                            </a:schemeClr>
                          </a:solidFill>
                          <a:round/>
                        </a:ln>
                        <a:effectLst>
                          <a:outerShdw dist="28398" dir="3806097" algn="ctr" rotWithShape="0">
                            <a:schemeClr val="accent4">
                              <a:lumMod val="50000"/>
                              <a:lumOff val="0"/>
                              <a:alpha val="50000"/>
                            </a:schemeClr>
                          </a:outerShdw>
                        </a:effectLst>
                      </wps:spPr>
                      <wps:txbx>
                        <w:txbxContent>
                          <w:p>
                            <w:pPr>
                              <w:jc w:val="center"/>
                            </w:pPr>
                            <w:r>
                              <w:t>Sub Bagian Pembinaan Pengadaan Barang/Jasa</w:t>
                            </w:r>
                          </w:p>
                        </w:txbxContent>
                      </wps:txbx>
                      <wps:bodyPr rot="0" vert="horz" wrap="square" lIns="91440" tIns="45720" rIns="91440" bIns="45720" anchor="t" anchorCtr="0" upright="1">
                        <a:noAutofit/>
                      </wps:bodyPr>
                    </wps:wsp>
                  </a:graphicData>
                </a:graphic>
              </wp:anchor>
            </w:drawing>
          </mc:Choice>
          <mc:Fallback>
            <w:pict>
              <v:roundrect id="Rounded Rectangle 34" o:spid="_x0000_s1026" o:spt="2" style="position:absolute;left:0pt;margin-left:158.2pt;margin-top:169.8pt;height:46.5pt;width:133.65pt;z-index:251696128;mso-width-relative:page;mso-height-relative:page;" fillcolor="#A9D18E [1945]" filled="t" stroked="t" coordsize="21600,21600" arcsize="0.166666666666667" o:gfxdata="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">
                <v:fill on="t" focussize="0,0"/>
                <v:stroke weight="3pt" color="#F2F2F2 [3201]" joinstyle="round"/>
                <v:imagedata o:title=""/>
                <o:lock v:ext="edit" aspectratio="f"/>
                <v:shadow on="t" color="#7F6000 [3207]" opacity="32768f" offset="1pt,2pt" origin="0f,0f" matrix="65536f,0f,0f,65536f"/>
                <v:textbox>
                  <w:txbxContent>
                    <w:p>
                      <w:pPr>
                        <w:jc w:val="center"/>
                      </w:pPr>
                      <w:r>
                        <w:t>Sub Bagian Pembinaan Pengadaan Barang/Jasa</w:t>
                      </w:r>
                    </w:p>
                  </w:txbxContent>
                </v:textbox>
              </v:roundrect>
            </w:pict>
          </mc:Fallback>
        </mc:AlternateContent>
      </w:r>
      <w:r>
        <w:rPr>
          <w:lang w:eastAsia="id-ID"/>
        </w:rPr>
        <mc:AlternateContent>
          <mc:Choice Requires="wps">
            <w:drawing>
              <wp:anchor distT="0" distB="0" distL="114300" distR="114300" simplePos="0" relativeHeight="251697152" behindDoc="0" locked="0" layoutInCell="1" allowOverlap="1">
                <wp:simplePos x="0" y="0"/>
                <wp:positionH relativeFrom="column">
                  <wp:posOffset>1981200</wp:posOffset>
                </wp:positionH>
                <wp:positionV relativeFrom="paragraph">
                  <wp:posOffset>3956685</wp:posOffset>
                </wp:positionV>
                <wp:extent cx="1714500" cy="742950"/>
                <wp:effectExtent l="19050" t="19050" r="38100" b="57150"/>
                <wp:wrapNone/>
                <wp:docPr id="35" name="Rounded Rectangle 35"/>
                <wp:cNvGraphicFramePr/>
                <a:graphic xmlns:a="http://schemas.openxmlformats.org/drawingml/2006/main">
                  <a:graphicData uri="http://schemas.microsoft.com/office/word/2010/wordprocessingShape">
                    <wps:wsp>
                      <wps:cNvSpPr>
                        <a:spLocks noChangeArrowheads="1"/>
                      </wps:cNvSpPr>
                      <wps:spPr bwMode="auto">
                        <a:xfrm>
                          <a:off x="0" y="0"/>
                          <a:ext cx="1714500" cy="742950"/>
                        </a:xfrm>
                        <a:prstGeom prst="roundRect">
                          <a:avLst>
                            <a:gd name="adj" fmla="val 16667"/>
                          </a:avLst>
                        </a:prstGeom>
                        <a:solidFill>
                          <a:schemeClr val="accent6">
                            <a:lumMod val="60000"/>
                            <a:lumOff val="40000"/>
                          </a:schemeClr>
                        </a:solidFill>
                        <a:ln w="38100">
                          <a:solidFill>
                            <a:schemeClr val="lt1">
                              <a:lumMod val="95000"/>
                              <a:lumOff val="0"/>
                            </a:schemeClr>
                          </a:solidFill>
                          <a:round/>
                        </a:ln>
                        <a:effectLst>
                          <a:outerShdw dist="28398" dir="3806097" algn="ctr" rotWithShape="0">
                            <a:schemeClr val="accent4">
                              <a:lumMod val="50000"/>
                              <a:lumOff val="0"/>
                              <a:alpha val="50000"/>
                            </a:schemeClr>
                          </a:outerShdw>
                        </a:effectLst>
                      </wps:spPr>
                      <wps:txbx>
                        <w:txbxContent>
                          <w:p>
                            <w:pPr>
                              <w:jc w:val="center"/>
                            </w:pPr>
                            <w:r>
                              <w:t>Sub Bagian Pengelolaan Sistem Informasi Pengadaan Barang/Jasa</w:t>
                            </w:r>
                          </w:p>
                        </w:txbxContent>
                      </wps:txbx>
                      <wps:bodyPr rot="0" vert="horz" wrap="square" lIns="91440" tIns="45720" rIns="91440" bIns="45720" anchor="t" anchorCtr="0" upright="1">
                        <a:noAutofit/>
                      </wps:bodyPr>
                    </wps:wsp>
                  </a:graphicData>
                </a:graphic>
              </wp:anchor>
            </w:drawing>
          </mc:Choice>
          <mc:Fallback>
            <w:pict>
              <v:roundrect id="Rounded Rectangle 35" o:spid="_x0000_s1026" o:spt="2" style="position:absolute;left:0pt;margin-left:156pt;margin-top:311.55pt;height:58.5pt;width:135pt;z-index:251697152;mso-width-relative:page;mso-height-relative:page;" fillcolor="#A9D18E [1945]" filled="t" stroked="t" coordsize="21600,21600" arcsize="0.166666666666667" o:gfxdata="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">
                <v:fill on="t" focussize="0,0"/>
                <v:stroke weight="3pt" color="#F2F2F2 [3201]" joinstyle="round"/>
                <v:imagedata o:title=""/>
                <o:lock v:ext="edit" aspectratio="f"/>
                <v:shadow on="t" color="#7F6000 [3207]" opacity="32768f" offset="1pt,2pt" origin="0f,0f" matrix="65536f,0f,0f,65536f"/>
                <v:textbox>
                  <w:txbxContent>
                    <w:p>
                      <w:pPr>
                        <w:jc w:val="center"/>
                      </w:pPr>
                      <w:r>
                        <w:t>Sub Bagian Pengelolaan Sistem Informasi Pengadaan Barang/Jasa</w:t>
                      </w:r>
                    </w:p>
                  </w:txbxContent>
                </v:textbox>
              </v:roundrect>
            </w:pict>
          </mc:Fallback>
        </mc:AlternateContent>
      </w:r>
      <w:r>
        <w:rPr>
          <w:lang w:eastAsia="id-ID"/>
        </w:rPr>
        <mc:AlternateContent>
          <mc:Choice Requires="wps">
            <w:drawing>
              <wp:anchor distT="0" distB="0" distL="114300" distR="114300" simplePos="0" relativeHeight="251688960" behindDoc="0" locked="0" layoutInCell="1" allowOverlap="1">
                <wp:simplePos x="0" y="0"/>
                <wp:positionH relativeFrom="column">
                  <wp:posOffset>1790065</wp:posOffset>
                </wp:positionH>
                <wp:positionV relativeFrom="paragraph">
                  <wp:posOffset>1270635</wp:posOffset>
                </wp:positionV>
                <wp:extent cx="1819275" cy="590550"/>
                <wp:effectExtent l="19050" t="19050" r="47625" b="57150"/>
                <wp:wrapNone/>
                <wp:docPr id="43" name="Rounded Rectangle 43"/>
                <wp:cNvGraphicFramePr/>
                <a:graphic xmlns:a="http://schemas.openxmlformats.org/drawingml/2006/main">
                  <a:graphicData uri="http://schemas.microsoft.com/office/word/2010/wordprocessingShape">
                    <wps:wsp>
                      <wps:cNvSpPr>
                        <a:spLocks noChangeArrowheads="1"/>
                      </wps:cNvSpPr>
                      <wps:spPr bwMode="auto">
                        <a:xfrm>
                          <a:off x="0" y="0"/>
                          <a:ext cx="1819275" cy="590550"/>
                        </a:xfrm>
                        <a:prstGeom prst="roundRect">
                          <a:avLst>
                            <a:gd name="adj" fmla="val 16667"/>
                          </a:avLst>
                        </a:prstGeom>
                        <a:solidFill>
                          <a:schemeClr val="accent6">
                            <a:lumMod val="60000"/>
                            <a:lumOff val="40000"/>
                          </a:schemeClr>
                        </a:solidFill>
                        <a:ln w="38100">
                          <a:solidFill>
                            <a:schemeClr val="lt1">
                              <a:lumMod val="95000"/>
                              <a:lumOff val="0"/>
                            </a:schemeClr>
                          </a:solidFill>
                          <a:round/>
                        </a:ln>
                        <a:effectLst>
                          <a:outerShdw dist="28398" dir="3806097" algn="ctr" rotWithShape="0">
                            <a:schemeClr val="accent4">
                              <a:lumMod val="50000"/>
                              <a:lumOff val="0"/>
                              <a:alpha val="50000"/>
                            </a:schemeClr>
                          </a:outerShdw>
                        </a:effectLst>
                      </wps:spPr>
                      <wps:txbx>
                        <w:txbxContent>
                          <w:p>
                            <w:pPr>
                              <w:jc w:val="center"/>
                            </w:pPr>
                            <w:r>
                              <w:t>Bagian Pengadaan Barang dan Jasa</w:t>
                            </w:r>
                          </w:p>
                        </w:txbxContent>
                      </wps:txbx>
                      <wps:bodyPr rot="0" vert="horz" wrap="square" lIns="91440" tIns="45720" rIns="91440" bIns="45720" anchor="t" anchorCtr="0" upright="1">
                        <a:noAutofit/>
                      </wps:bodyPr>
                    </wps:wsp>
                  </a:graphicData>
                </a:graphic>
              </wp:anchor>
            </w:drawing>
          </mc:Choice>
          <mc:Fallback>
            <w:pict>
              <v:roundrect id="Rounded Rectangle 43" o:spid="_x0000_s1026" o:spt="2" style="position:absolute;left:0pt;margin-left:140.95pt;margin-top:100.05pt;height:46.5pt;width:143.25pt;z-index:251688960;mso-width-relative:page;mso-height-relative:page;" fillcolor="#A9D18E [1945]" filled="t" stroked="t" coordsize="21600,21600" arcsize="0.166666666666667" o:gfxdata="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">
                <v:fill on="t" focussize="0,0"/>
                <v:stroke weight="3pt" color="#F2F2F2 [3201]" joinstyle="round"/>
                <v:imagedata o:title=""/>
                <o:lock v:ext="edit" aspectratio="f"/>
                <v:shadow on="t" color="#7F6000 [3207]" opacity="32768f" offset="1pt,2pt" origin="0f,0f" matrix="65536f,0f,0f,65536f"/>
                <v:textbox>
                  <w:txbxContent>
                    <w:p>
                      <w:pPr>
                        <w:jc w:val="center"/>
                      </w:pPr>
                      <w:r>
                        <w:t>Bagian Pengadaan Barang dan Jasa</w:t>
                      </w:r>
                    </w:p>
                  </w:txbxContent>
                </v:textbox>
              </v:roundrect>
            </w:pict>
          </mc:Fallback>
        </mc:AlternateContent>
      </w:r>
      <w:r>
        <w:rPr>
          <w:lang w:eastAsia="id-ID"/>
        </w:rPr>
        <mc:AlternateContent>
          <mc:Choice Requires="wps">
            <w:drawing>
              <wp:anchor distT="0" distB="0" distL="114300" distR="114300" simplePos="0" relativeHeight="251689984" behindDoc="1" locked="0" layoutInCell="1" allowOverlap="1">
                <wp:simplePos x="0" y="0"/>
                <wp:positionH relativeFrom="column">
                  <wp:posOffset>-190500</wp:posOffset>
                </wp:positionH>
                <wp:positionV relativeFrom="paragraph">
                  <wp:posOffset>1251585</wp:posOffset>
                </wp:positionV>
                <wp:extent cx="1828800" cy="590550"/>
                <wp:effectExtent l="19050" t="19050" r="38100" b="57150"/>
                <wp:wrapTight wrapText="bothSides">
                  <wp:wrapPolygon>
                    <wp:start x="0" y="-697"/>
                    <wp:lineTo x="-225" y="-697"/>
                    <wp:lineTo x="-225" y="20903"/>
                    <wp:lineTo x="225" y="22994"/>
                    <wp:lineTo x="21375" y="22994"/>
                    <wp:lineTo x="21825" y="21600"/>
                    <wp:lineTo x="21825" y="697"/>
                    <wp:lineTo x="21375" y="-697"/>
                    <wp:lineTo x="0" y="-697"/>
                  </wp:wrapPolygon>
                </wp:wrapTight>
                <wp:docPr id="44" name="Rounded Rectangle 44"/>
                <wp:cNvGraphicFramePr/>
                <a:graphic xmlns:a="http://schemas.openxmlformats.org/drawingml/2006/main">
                  <a:graphicData uri="http://schemas.microsoft.com/office/word/2010/wordprocessingShape">
                    <wps:wsp>
                      <wps:cNvSpPr>
                        <a:spLocks noChangeArrowheads="1"/>
                      </wps:cNvSpPr>
                      <wps:spPr bwMode="auto">
                        <a:xfrm>
                          <a:off x="0" y="0"/>
                          <a:ext cx="1828800" cy="590550"/>
                        </a:xfrm>
                        <a:prstGeom prst="roundRect">
                          <a:avLst>
                            <a:gd name="adj" fmla="val 16667"/>
                          </a:avLst>
                        </a:prstGeom>
                        <a:solidFill>
                          <a:schemeClr val="accent6">
                            <a:lumMod val="60000"/>
                            <a:lumOff val="40000"/>
                          </a:schemeClr>
                        </a:solidFill>
                        <a:ln w="38100">
                          <a:solidFill>
                            <a:schemeClr val="lt1">
                              <a:lumMod val="95000"/>
                              <a:lumOff val="0"/>
                            </a:schemeClr>
                          </a:solidFill>
                          <a:round/>
                        </a:ln>
                        <a:effectLst>
                          <a:outerShdw dist="28398" dir="3806097" algn="ctr" rotWithShape="0">
                            <a:schemeClr val="accent4">
                              <a:lumMod val="50000"/>
                              <a:lumOff val="0"/>
                              <a:alpha val="50000"/>
                            </a:schemeClr>
                          </a:outerShdw>
                        </a:effectLst>
                      </wps:spPr>
                      <wps:txbx>
                        <w:txbxContent>
                          <w:p>
                            <w:pPr>
                              <w:spacing w:before="100" w:beforeAutospacing="1" w:after="100" w:afterAutospacing="1" w:line="240" w:lineRule="auto"/>
                              <w:jc w:val="center"/>
                            </w:pPr>
                            <w:r>
                              <w:t>Bagian Bina Sarana</w:t>
                            </w:r>
                          </w:p>
                        </w:txbxContent>
                      </wps:txbx>
                      <wps:bodyPr rot="0" vert="horz" wrap="square" lIns="91440" tIns="45720" rIns="91440" bIns="45720" anchor="t" anchorCtr="0" upright="1">
                        <a:noAutofit/>
                      </wps:bodyPr>
                    </wps:wsp>
                  </a:graphicData>
                </a:graphic>
              </wp:anchor>
            </w:drawing>
          </mc:Choice>
          <mc:Fallback>
            <w:pict>
              <v:roundrect id="Rounded Rectangle 44" o:spid="_x0000_s1026" o:spt="2" style="position:absolute;left:0pt;margin-left:-15pt;margin-top:98.55pt;height:46.5pt;width:144pt;mso-wrap-distance-left:9pt;mso-wrap-distance-right:9pt;z-index:-251626496;mso-width-relative:page;mso-height-relative:page;" fillcolor="#A9D18E [1945]" filled="t" stroked="t" coordsize="21600,21600" wrapcoords="0 -697 -225 -697 -225 20903 225 22994 21375 22994 21825 21600 21825 697 21375 -697 0 -697" arcsize="0.166666666666667" o:gfxdata="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">
                <v:fill on="t" focussize="0,0"/>
                <v:stroke weight="3pt" color="#F2F2F2 [3201]" joinstyle="round"/>
                <v:imagedata o:title=""/>
                <o:lock v:ext="edit" aspectratio="f"/>
                <v:shadow on="t" color="#7F6000 [3207]" opacity="32768f" offset="1pt,2pt" origin="0f,0f" matrix="65536f,0f,0f,65536f"/>
                <v:textbox>
                  <w:txbxContent>
                    <w:p>
                      <w:pPr>
                        <w:spacing w:before="100" w:beforeAutospacing="1" w:after="100" w:afterAutospacing="1" w:line="240" w:lineRule="auto"/>
                        <w:jc w:val="center"/>
                      </w:pPr>
                      <w:r>
                        <w:t>Bagian Bina Sarana</w:t>
                      </w:r>
                    </w:p>
                  </w:txbxContent>
                </v:textbox>
                <w10:wrap type="tight"/>
              </v:roundrect>
            </w:pict>
          </mc:Fallback>
        </mc:AlternateContent>
      </w:r>
      <w:r>
        <w:rPr>
          <w:lang w:eastAsia="id-ID"/>
        </w:rPr>
        <mc:AlternateContent>
          <mc:Choice Requires="wps">
            <w:drawing>
              <wp:anchor distT="0" distB="0" distL="114300" distR="114300" simplePos="0" relativeHeight="251751424" behindDoc="0" locked="0" layoutInCell="1" allowOverlap="1">
                <wp:simplePos x="0" y="0"/>
                <wp:positionH relativeFrom="column">
                  <wp:posOffset>742950</wp:posOffset>
                </wp:positionH>
                <wp:positionV relativeFrom="paragraph">
                  <wp:posOffset>1019175</wp:posOffset>
                </wp:positionV>
                <wp:extent cx="0" cy="200025"/>
                <wp:effectExtent l="0" t="0" r="19050" b="28575"/>
                <wp:wrapNone/>
                <wp:docPr id="1" name="Straight Connector 1"/>
                <wp:cNvGraphicFramePr/>
                <a:graphic xmlns:a="http://schemas.openxmlformats.org/drawingml/2006/main">
                  <a:graphicData uri="http://schemas.microsoft.com/office/word/2010/wordprocessingShape">
                    <wps:wsp>
                      <wps:cNvCnPr/>
                      <wps:spPr>
                        <a:xfrm>
                          <a:off x="0" y="0"/>
                          <a:ext cx="0" cy="200025"/>
                        </a:xfrm>
                        <a:prstGeom prst="line">
                          <a:avLst/>
                        </a:prstGeom>
                        <a:noFill/>
                        <a:ln w="6350" cap="flat" cmpd="sng" algn="ctr">
                          <a:solidFill>
                            <a:sysClr val="windowText" lastClr="000000"/>
                          </a:solidFill>
                          <a:prstDash val="solid"/>
                          <a:miter lim="800000"/>
                        </a:ln>
                        <a:effectLst/>
                      </wps:spPr>
                      <wps:bodyPr/>
                    </wps:wsp>
                  </a:graphicData>
                </a:graphic>
              </wp:anchor>
            </w:drawing>
          </mc:Choice>
          <mc:Fallback>
            <w:pict>
              <v:line id="Straight Connector 1" o:spid="_x0000_s1026" o:spt="20" style="position:absolute;left:0pt;margin-left:58.5pt;margin-top:80.25pt;height:15.75pt;width:0pt;z-index:251751424;mso-width-relative:page;mso-height-relative:page;" filled="f" stroked="t" coordsize="21600,21600" o:gfxdata="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5Jg6/dUAAAALAQAADwAAAAAAAAABACAAAAAiAAAAZHJzL2Rvd25yZXYu&#10;eG1sUEsBAhQAFAAAAAgAh07iQKpeONbFAQAAhwMAAA4AAAAAAAAAAQAgAAAAJAEAAGRycy9lMm9E&#10;b2MueG1sUEsFBgAAAAAGAAYAWQEAAFsFAAAAAA==&#10;">
                <v:fill on="f" focussize="0,0"/>
                <v:stroke weight="0.5pt" color="#000000" miterlimit="8" joinstyle="miter"/>
                <v:imagedata o:title=""/>
                <o:lock v:ext="edit" aspectratio="f"/>
              </v:line>
            </w:pict>
          </mc:Fallback>
        </mc:AlternateContent>
      </w:r>
      <w:r>
        <w:rPr>
          <w:lang w:eastAsia="id-ID"/>
        </w:rPr>
        <mc:AlternateContent>
          <mc:Choice Requires="wps">
            <w:drawing>
              <wp:anchor distT="0" distB="0" distL="114300" distR="114300" simplePos="0" relativeHeight="251738112" behindDoc="0" locked="0" layoutInCell="1" allowOverlap="1">
                <wp:simplePos x="0" y="0"/>
                <wp:positionH relativeFrom="column">
                  <wp:posOffset>3829050</wp:posOffset>
                </wp:positionH>
                <wp:positionV relativeFrom="paragraph">
                  <wp:posOffset>1866900</wp:posOffset>
                </wp:positionV>
                <wp:extent cx="0" cy="2505075"/>
                <wp:effectExtent l="0" t="0" r="19050" b="28575"/>
                <wp:wrapNone/>
                <wp:docPr id="74" name="Straight Connector 74"/>
                <wp:cNvGraphicFramePr/>
                <a:graphic xmlns:a="http://schemas.openxmlformats.org/drawingml/2006/main">
                  <a:graphicData uri="http://schemas.microsoft.com/office/word/2010/wordprocessingShape">
                    <wps:wsp>
                      <wps:cNvCnPr/>
                      <wps:spPr>
                        <a:xfrm>
                          <a:off x="0" y="0"/>
                          <a:ext cx="0" cy="2505075"/>
                        </a:xfrm>
                        <a:prstGeom prst="line">
                          <a:avLst/>
                        </a:prstGeom>
                        <a:noFill/>
                        <a:ln w="6350" cap="flat" cmpd="sng" algn="ctr">
                          <a:solidFill>
                            <a:sysClr val="windowText" lastClr="000000"/>
                          </a:solidFill>
                          <a:prstDash val="solid"/>
                          <a:miter lim="800000"/>
                        </a:ln>
                        <a:effectLst/>
                      </wps:spPr>
                      <wps:bodyPr/>
                    </wps:wsp>
                  </a:graphicData>
                </a:graphic>
              </wp:anchor>
            </w:drawing>
          </mc:Choice>
          <mc:Fallback>
            <w:pict>
              <v:line id="Straight Connector 74" o:spid="_x0000_s1026" o:spt="20" style="position:absolute;left:0pt;margin-left:301.5pt;margin-top:147pt;height:197.25pt;width:0pt;z-index:251738112;mso-width-relative:page;mso-height-relative:page;" filled="f" stroked="t" coordsize="21600,21600" o:gfxdata="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">
                <v:fill on="f" focussize="0,0"/>
                <v:stroke weight="0.5pt" color="#000000" miterlimit="8" joinstyle="miter"/>
                <v:imagedata o:title=""/>
                <o:lock v:ext="edit" aspectratio="f"/>
              </v:line>
            </w:pict>
          </mc:Fallback>
        </mc:AlternateContent>
      </w:r>
      <w:r>
        <w:rPr>
          <w:lang w:eastAsia="id-ID"/>
        </w:rPr>
        <mc:AlternateContent>
          <mc:Choice Requires="wps">
            <w:drawing>
              <wp:anchor distT="0" distB="0" distL="114300" distR="114300" simplePos="0" relativeHeight="251722752" behindDoc="0" locked="0" layoutInCell="1" allowOverlap="1">
                <wp:simplePos x="0" y="0"/>
                <wp:positionH relativeFrom="column">
                  <wp:posOffset>4743450</wp:posOffset>
                </wp:positionH>
                <wp:positionV relativeFrom="paragraph">
                  <wp:posOffset>1022985</wp:posOffset>
                </wp:positionV>
                <wp:extent cx="0" cy="200025"/>
                <wp:effectExtent l="0" t="0" r="19050" b="28575"/>
                <wp:wrapNone/>
                <wp:docPr id="61" name="Straight Connector 61"/>
                <wp:cNvGraphicFramePr/>
                <a:graphic xmlns:a="http://schemas.openxmlformats.org/drawingml/2006/main">
                  <a:graphicData uri="http://schemas.microsoft.com/office/word/2010/wordprocessingShape">
                    <wps:wsp>
                      <wps:cNvCnPr/>
                      <wps:spPr>
                        <a:xfrm>
                          <a:off x="0" y="0"/>
                          <a:ext cx="0" cy="200025"/>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61" o:spid="_x0000_s1026" o:spt="20" style="position:absolute;left:0pt;margin-left:373.5pt;margin-top:80.55pt;height:15.75pt;width:0pt;z-index:251722752;mso-width-relative:page;mso-height-relative:page;" filled="f" stroked="t" coordsize="21600,21600" o:gfxdata="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">
                <v:fill on="f" focussize="0,0"/>
                <v:stroke weight="0.5pt" color="#000000 [3200]" miterlimit="8" joinstyle="miter"/>
                <v:imagedata o:title=""/>
                <o:lock v:ext="edit" aspectratio="f"/>
              </v:line>
            </w:pict>
          </mc:Fallback>
        </mc:AlternateContent>
      </w:r>
      <w:r>
        <w:rPr>
          <w:lang w:eastAsia="id-ID"/>
        </w:rPr>
        <mc:AlternateContent>
          <mc:Choice Requires="wps">
            <w:drawing>
              <wp:anchor distT="0" distB="0" distL="114300" distR="114300" simplePos="0" relativeHeight="251736064" behindDoc="0" locked="0" layoutInCell="1" allowOverlap="1">
                <wp:simplePos x="0" y="0"/>
                <wp:positionH relativeFrom="column">
                  <wp:posOffset>742950</wp:posOffset>
                </wp:positionH>
                <wp:positionV relativeFrom="paragraph">
                  <wp:posOffset>1022985</wp:posOffset>
                </wp:positionV>
                <wp:extent cx="4000500" cy="0"/>
                <wp:effectExtent l="0" t="0" r="19050" b="19050"/>
                <wp:wrapNone/>
                <wp:docPr id="72" name="Straight Connector 72"/>
                <wp:cNvGraphicFramePr/>
                <a:graphic xmlns:a="http://schemas.openxmlformats.org/drawingml/2006/main">
                  <a:graphicData uri="http://schemas.microsoft.com/office/word/2010/wordprocessingShape">
                    <wps:wsp>
                      <wps:cNvCnPr/>
                      <wps:spPr>
                        <a:xfrm>
                          <a:off x="0" y="0"/>
                          <a:ext cx="40005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72" o:spid="_x0000_s1026" o:spt="20" style="position:absolute;left:0pt;margin-left:58.5pt;margin-top:80.55pt;height:0pt;width:315pt;z-index:251736064;mso-width-relative:page;mso-height-relative:page;" filled="f" stroked="t" coordsize="21600,21600" o:gfxdata="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">
                <v:fill on="f" focussize="0,0"/>
                <v:stroke weight="0.5pt" color="#000000 [3200]" miterlimit="8" joinstyle="miter"/>
                <v:imagedata o:title=""/>
                <o:lock v:ext="edit" aspectratio="f"/>
              </v:line>
            </w:pict>
          </mc:Fallback>
        </mc:AlternateContent>
      </w:r>
      <w:r>
        <w:rPr>
          <w:lang w:eastAsia="id-ID"/>
        </w:rPr>
        <mc:AlternateContent>
          <mc:Choice Requires="wps">
            <w:drawing>
              <wp:anchor distT="0" distB="0" distL="114300" distR="114300" simplePos="0" relativeHeight="251691008" behindDoc="0" locked="0" layoutInCell="1" allowOverlap="1">
                <wp:simplePos x="0" y="0"/>
                <wp:positionH relativeFrom="column">
                  <wp:posOffset>8890</wp:posOffset>
                </wp:positionH>
                <wp:positionV relativeFrom="paragraph">
                  <wp:posOffset>3051810</wp:posOffset>
                </wp:positionV>
                <wp:extent cx="1685925" cy="609600"/>
                <wp:effectExtent l="19050" t="19050" r="47625" b="57150"/>
                <wp:wrapNone/>
                <wp:docPr id="39" name="Rounded Rectangle 39"/>
                <wp:cNvGraphicFramePr/>
                <a:graphic xmlns:a="http://schemas.openxmlformats.org/drawingml/2006/main">
                  <a:graphicData uri="http://schemas.microsoft.com/office/word/2010/wordprocessingShape">
                    <wps:wsp>
                      <wps:cNvSpPr>
                        <a:spLocks noChangeArrowheads="1"/>
                      </wps:cNvSpPr>
                      <wps:spPr bwMode="auto">
                        <a:xfrm>
                          <a:off x="0" y="0"/>
                          <a:ext cx="1685925" cy="609600"/>
                        </a:xfrm>
                        <a:prstGeom prst="roundRect">
                          <a:avLst>
                            <a:gd name="adj" fmla="val 16667"/>
                          </a:avLst>
                        </a:prstGeom>
                        <a:solidFill>
                          <a:schemeClr val="accent6">
                            <a:lumMod val="60000"/>
                            <a:lumOff val="40000"/>
                          </a:schemeClr>
                        </a:solidFill>
                        <a:ln w="38100">
                          <a:solidFill>
                            <a:schemeClr val="lt1">
                              <a:lumMod val="95000"/>
                              <a:lumOff val="0"/>
                            </a:schemeClr>
                          </a:solidFill>
                          <a:round/>
                        </a:ln>
                        <a:effectLst>
                          <a:outerShdw dist="28398" dir="3806097" algn="ctr" rotWithShape="0">
                            <a:schemeClr val="accent4">
                              <a:lumMod val="50000"/>
                              <a:lumOff val="0"/>
                              <a:alpha val="50000"/>
                            </a:schemeClr>
                          </a:outerShdw>
                        </a:effectLst>
                      </wps:spPr>
                      <wps:txbx>
                        <w:txbxContent>
                          <w:p>
                            <w:pPr>
                              <w:spacing w:line="240" w:lineRule="auto"/>
                              <w:jc w:val="center"/>
                            </w:pPr>
                            <w:r>
                              <w:t>Sub Bagian Perencanaan Pengadaan dan BMD</w:t>
                            </w:r>
                          </w:p>
                        </w:txbxContent>
                      </wps:txbx>
                      <wps:bodyPr rot="0" vert="horz" wrap="square" lIns="91440" tIns="45720" rIns="91440" bIns="45720" anchor="t" anchorCtr="0" upright="1">
                        <a:noAutofit/>
                      </wps:bodyPr>
                    </wps:wsp>
                  </a:graphicData>
                </a:graphic>
              </wp:anchor>
            </w:drawing>
          </mc:Choice>
          <mc:Fallback>
            <w:pict>
              <v:roundrect id="Rounded Rectangle 39" o:spid="_x0000_s1026" o:spt="2" style="position:absolute;left:0pt;margin-left:0.7pt;margin-top:240.3pt;height:48pt;width:132.75pt;z-index:251691008;mso-width-relative:page;mso-height-relative:page;" fillcolor="#A9D18E [1945]" filled="t" stroked="t" coordsize="21600,21600" arcsize="0.166666666666667" o:gfxdata="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">
                <v:fill on="t" focussize="0,0"/>
                <v:stroke weight="3pt" color="#F2F2F2 [3201]" joinstyle="round"/>
                <v:imagedata o:title=""/>
                <o:lock v:ext="edit" aspectratio="f"/>
                <v:shadow on="t" color="#7F6000 [3207]" opacity="32768f" offset="1pt,2pt" origin="0f,0f" matrix="65536f,0f,0f,65536f"/>
                <v:textbox>
                  <w:txbxContent>
                    <w:p>
                      <w:pPr>
                        <w:spacing w:line="240" w:lineRule="auto"/>
                        <w:jc w:val="center"/>
                      </w:pPr>
                      <w:r>
                        <w:t>Sub Bagian Perencanaan Pengadaan dan BMD</w:t>
                      </w:r>
                    </w:p>
                  </w:txbxContent>
                </v:textbox>
              </v:roundrect>
            </w:pict>
          </mc:Fallback>
        </mc:AlternateContent>
      </w:r>
      <w:r>
        <w:rPr>
          <w:lang w:eastAsia="id-ID"/>
        </w:rPr>
        <mc:AlternateContent>
          <mc:Choice Requires="wps">
            <w:drawing>
              <wp:anchor distT="0" distB="0" distL="114300" distR="114300" simplePos="0" relativeHeight="251721728" behindDoc="0" locked="0" layoutInCell="1" allowOverlap="1">
                <wp:simplePos x="0" y="0"/>
                <wp:positionH relativeFrom="column">
                  <wp:posOffset>1647825</wp:posOffset>
                </wp:positionH>
                <wp:positionV relativeFrom="paragraph">
                  <wp:posOffset>441960</wp:posOffset>
                </wp:positionV>
                <wp:extent cx="1695450" cy="0"/>
                <wp:effectExtent l="0" t="0" r="19050" b="19050"/>
                <wp:wrapNone/>
                <wp:docPr id="60" name="Straight Connector 60"/>
                <wp:cNvGraphicFramePr/>
                <a:graphic xmlns:a="http://schemas.openxmlformats.org/drawingml/2006/main">
                  <a:graphicData uri="http://schemas.microsoft.com/office/word/2010/wordprocessingShape">
                    <wps:wsp>
                      <wps:cNvCnPr/>
                      <wps:spPr>
                        <a:xfrm>
                          <a:off x="0" y="0"/>
                          <a:ext cx="16954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60" o:spid="_x0000_s1026" o:spt="20" style="position:absolute;left:0pt;margin-left:129.75pt;margin-top:34.8pt;height:0pt;width:133.5pt;z-index:251721728;mso-width-relative:page;mso-height-relative:page;" filled="f" stroked="t" coordsize="21600,21600" o:gfxdata="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">
                <v:fill on="f" focussize="0,0"/>
                <v:stroke weight="0.5pt" color="#000000 [3200]" miterlimit="8" joinstyle="miter"/>
                <v:imagedata o:title=""/>
                <o:lock v:ext="edit" aspectratio="f"/>
              </v:line>
            </w:pict>
          </mc:Fallback>
        </mc:AlternateContent>
      </w:r>
      <w:r>
        <w:rPr>
          <w:lang w:eastAsia="id-ID"/>
        </w:rPr>
        <mc:AlternateContent>
          <mc:Choice Requires="wps">
            <w:drawing>
              <wp:anchor distT="0" distB="0" distL="114300" distR="114300" simplePos="0" relativeHeight="251719680" behindDoc="0" locked="0" layoutInCell="1" allowOverlap="1">
                <wp:simplePos x="0" y="0"/>
                <wp:positionH relativeFrom="column">
                  <wp:posOffset>0</wp:posOffset>
                </wp:positionH>
                <wp:positionV relativeFrom="paragraph">
                  <wp:posOffset>114300</wp:posOffset>
                </wp:positionV>
                <wp:extent cx="1609725" cy="590550"/>
                <wp:effectExtent l="19050" t="19050" r="47625" b="57150"/>
                <wp:wrapNone/>
                <wp:docPr id="58" name="Rounded Rectangle 58"/>
                <wp:cNvGraphicFramePr/>
                <a:graphic xmlns:a="http://schemas.openxmlformats.org/drawingml/2006/main">
                  <a:graphicData uri="http://schemas.microsoft.com/office/word/2010/wordprocessingShape">
                    <wps:wsp>
                      <wps:cNvSpPr>
                        <a:spLocks noChangeArrowheads="1"/>
                      </wps:cNvSpPr>
                      <wps:spPr bwMode="auto">
                        <a:xfrm>
                          <a:off x="0" y="0"/>
                          <a:ext cx="1609725" cy="590550"/>
                        </a:xfrm>
                        <a:prstGeom prst="roundRect">
                          <a:avLst>
                            <a:gd name="adj" fmla="val 16667"/>
                          </a:avLst>
                        </a:prstGeom>
                        <a:solidFill>
                          <a:srgbClr val="70AD47">
                            <a:lumMod val="60000"/>
                            <a:lumOff val="40000"/>
                          </a:srgbClr>
                        </a:solidFill>
                        <a:ln w="38100">
                          <a:solidFill>
                            <a:sysClr val="window" lastClr="FFFFFF">
                              <a:lumMod val="95000"/>
                              <a:lumOff val="0"/>
                            </a:sysClr>
                          </a:solidFill>
                          <a:round/>
                        </a:ln>
                        <a:effectLst>
                          <a:outerShdw dist="28398" dir="3806097" algn="ctr" rotWithShape="0">
                            <a:srgbClr val="FFC000">
                              <a:lumMod val="50000"/>
                              <a:lumOff val="0"/>
                              <a:alpha val="50000"/>
                            </a:srgbClr>
                          </a:outerShdw>
                        </a:effectLst>
                      </wps:spPr>
                      <wps:txbx>
                        <w:txbxContent>
                          <w:p>
                            <w:pPr>
                              <w:spacing w:before="100" w:beforeAutospacing="1" w:after="100" w:afterAutospacing="1"/>
                              <w:jc w:val="center"/>
                            </w:pPr>
                            <w:r>
                              <w:t>Jabatan Fungsional</w:t>
                            </w:r>
                          </w:p>
                        </w:txbxContent>
                      </wps:txbx>
                      <wps:bodyPr rot="0" vert="horz" wrap="square" lIns="91440" tIns="45720" rIns="91440" bIns="45720" anchor="t" anchorCtr="0" upright="1">
                        <a:noAutofit/>
                      </wps:bodyPr>
                    </wps:wsp>
                  </a:graphicData>
                </a:graphic>
              </wp:anchor>
            </w:drawing>
          </mc:Choice>
          <mc:Fallback>
            <w:pict>
              <v:roundrect id="Rounded Rectangle 58" o:spid="_x0000_s1026" o:spt="2" style="position:absolute;left:0pt;margin-left:0pt;margin-top:9pt;height:46.5pt;width:126.75pt;z-index:251719680;mso-width-relative:page;mso-height-relative:page;" fillcolor="#A9D18E" filled="t" stroked="t" coordsize="21600,21600" arcsize="0.166666666666667" o:gfxdata="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">
                <v:fill on="t" focussize="0,0"/>
                <v:stroke weight="3pt" color="#F2F2F2" joinstyle="round"/>
                <v:imagedata o:title=""/>
                <o:lock v:ext="edit" aspectratio="f"/>
                <v:shadow on="t" color="#7F6000" opacity="32768f" offset="1pt,2pt" origin="0f,0f" matrix="65536f,0f,0f,65536f"/>
                <v:textbox>
                  <w:txbxContent>
                    <w:p>
                      <w:pPr>
                        <w:spacing w:before="100" w:beforeAutospacing="1" w:after="100" w:afterAutospacing="1"/>
                        <w:jc w:val="center"/>
                      </w:pPr>
                      <w:r>
                        <w:t>Jabatan Fungsional</w:t>
                      </w:r>
                    </w:p>
                  </w:txbxContent>
                </v:textbox>
              </v:roundrect>
            </w:pict>
          </mc:Fallback>
        </mc:AlternateContent>
      </w:r>
      <w:r>
        <w:rPr>
          <w:lang w:eastAsia="id-ID"/>
        </w:rPr>
        <mc:AlternateContent>
          <mc:Choice Requires="wps">
            <w:drawing>
              <wp:anchor distT="0" distB="0" distL="114300" distR="114300" simplePos="0" relativeHeight="251704320" behindDoc="0" locked="0" layoutInCell="1" allowOverlap="1">
                <wp:simplePos x="0" y="0"/>
                <wp:positionH relativeFrom="column">
                  <wp:posOffset>657225</wp:posOffset>
                </wp:positionH>
                <wp:positionV relativeFrom="paragraph">
                  <wp:posOffset>104775</wp:posOffset>
                </wp:positionV>
                <wp:extent cx="0" cy="170815"/>
                <wp:effectExtent l="0" t="0" r="19050" b="19685"/>
                <wp:wrapNone/>
                <wp:docPr id="48" name="Straight Arrow Connector 48"/>
                <wp:cNvGraphicFramePr/>
                <a:graphic xmlns:a="http://schemas.openxmlformats.org/drawingml/2006/main">
                  <a:graphicData uri="http://schemas.microsoft.com/office/word/2010/wordprocessingShape">
                    <wps:wsp>
                      <wps:cNvCnPr>
                        <a:cxnSpLocks noChangeShapeType="1"/>
                      </wps:cNvCnPr>
                      <wps:spPr bwMode="auto">
                        <a:xfrm>
                          <a:off x="0" y="0"/>
                          <a:ext cx="0" cy="170815"/>
                        </a:xfrm>
                        <a:prstGeom prst="straightConnector1">
                          <a:avLst/>
                        </a:prstGeom>
                        <a:noFill/>
                        <a:ln w="9525">
                          <a:solidFill>
                            <a:srgbClr val="000000"/>
                          </a:solidFill>
                          <a:round/>
                        </a:ln>
                      </wps:spPr>
                      <wps:bodyPr/>
                    </wps:wsp>
                  </a:graphicData>
                </a:graphic>
              </wp:anchor>
            </w:drawing>
          </mc:Choice>
          <mc:Fallback>
            <w:pict>
              <v:shape id="Straight Arrow Connector 48" o:spid="_x0000_s1026" o:spt="32" type="#_x0000_t32" style="position:absolute;left:0pt;margin-left:51.75pt;margin-top:8.25pt;height:13.45pt;width:0pt;z-index:251704320;mso-width-relative:page;mso-height-relative:page;" filled="f" stroked="t" coordsize="21600,21600" o:gfxdata="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">
                <v:fill on="f" focussize="0,0"/>
                <v:stroke color="#000000" joinstyle="round"/>
                <v:imagedata o:title=""/>
                <o:lock v:ext="edit" aspectratio="f"/>
              </v:shape>
            </w:pict>
          </mc:Fallback>
        </mc:AlternateContent>
      </w:r>
    </w:p>
    <w:p>
      <w:pPr>
        <w:rPr>
          <w:rFonts w:ascii="Cambria" w:hAnsi="Cambria"/>
        </w:rPr>
      </w:pPr>
    </w:p>
    <w:p>
      <w:pPr>
        <w:rPr>
          <w:rFonts w:ascii="Cambria" w:hAnsi="Cambria"/>
        </w:rPr>
      </w:pPr>
    </w:p>
    <w:p>
      <w:pPr>
        <w:rPr>
          <w:rFonts w:ascii="Cambria" w:hAnsi="Cambria"/>
        </w:rPr>
      </w:pPr>
    </w:p>
    <w:p>
      <w:pPr>
        <w:rPr>
          <w:rFonts w:ascii="Cambria" w:hAnsi="Cambria"/>
        </w:rPr>
      </w:pPr>
      <w:r>
        <w:rPr>
          <w:lang w:eastAsia="id-ID"/>
        </w:rPr>
        <mc:AlternateContent>
          <mc:Choice Requires="wps">
            <w:drawing>
              <wp:anchor distT="0" distB="0" distL="114300" distR="114300" simplePos="0" relativeHeight="251692032" behindDoc="0" locked="0" layoutInCell="1" allowOverlap="1">
                <wp:simplePos x="0" y="0"/>
                <wp:positionH relativeFrom="margin">
                  <wp:posOffset>3798570</wp:posOffset>
                </wp:positionH>
                <wp:positionV relativeFrom="paragraph">
                  <wp:posOffset>140335</wp:posOffset>
                </wp:positionV>
                <wp:extent cx="1924050" cy="590550"/>
                <wp:effectExtent l="19050" t="19050" r="38100" b="57150"/>
                <wp:wrapNone/>
                <wp:docPr id="42" name="Rounded Rectangle 42"/>
                <wp:cNvGraphicFramePr/>
                <a:graphic xmlns:a="http://schemas.openxmlformats.org/drawingml/2006/main">
                  <a:graphicData uri="http://schemas.microsoft.com/office/word/2010/wordprocessingShape">
                    <wps:wsp>
                      <wps:cNvSpPr>
                        <a:spLocks noChangeArrowheads="1"/>
                      </wps:cNvSpPr>
                      <wps:spPr bwMode="auto">
                        <a:xfrm>
                          <a:off x="0" y="0"/>
                          <a:ext cx="1924050" cy="590550"/>
                        </a:xfrm>
                        <a:prstGeom prst="roundRect">
                          <a:avLst>
                            <a:gd name="adj" fmla="val 16667"/>
                          </a:avLst>
                        </a:prstGeom>
                        <a:solidFill>
                          <a:schemeClr val="accent6">
                            <a:lumMod val="60000"/>
                            <a:lumOff val="40000"/>
                          </a:schemeClr>
                        </a:solidFill>
                        <a:ln w="38100">
                          <a:solidFill>
                            <a:schemeClr val="lt1">
                              <a:lumMod val="95000"/>
                              <a:lumOff val="0"/>
                            </a:schemeClr>
                          </a:solidFill>
                          <a:round/>
                        </a:ln>
                        <a:effectLst>
                          <a:outerShdw dist="28398" dir="3806097" algn="ctr" rotWithShape="0">
                            <a:schemeClr val="accent4">
                              <a:lumMod val="50000"/>
                              <a:lumOff val="0"/>
                              <a:alpha val="50000"/>
                            </a:schemeClr>
                          </a:outerShdw>
                        </a:effectLst>
                      </wps:spPr>
                      <wps:txbx>
                        <w:txbxContent>
                          <w:p>
                            <w:pPr>
                              <w:ind w:right="-178"/>
                              <w:jc w:val="center"/>
                            </w:pPr>
                            <w:r>
                              <w:t>Bagian Pengelolaan Barang Milik Daerah</w:t>
                            </w:r>
                          </w:p>
                          <w:p>
                            <w:pPr>
                              <w:rPr>
                                <w:sz w:val="20"/>
                                <w:szCs w:val="20"/>
                              </w:rPr>
                            </w:pPr>
                          </w:p>
                        </w:txbxContent>
                      </wps:txbx>
                      <wps:bodyPr rot="0" vert="horz" wrap="square" lIns="91440" tIns="45720" rIns="91440" bIns="45720" anchor="t" anchorCtr="0" upright="1">
                        <a:noAutofit/>
                      </wps:bodyPr>
                    </wps:wsp>
                  </a:graphicData>
                </a:graphic>
              </wp:anchor>
            </w:drawing>
          </mc:Choice>
          <mc:Fallback>
            <w:pict>
              <v:roundrect id="Rounded Rectangle 42" o:spid="_x0000_s1026" o:spt="2" style="position:absolute;left:0pt;margin-left:299.1pt;margin-top:11.05pt;height:46.5pt;width:151.5pt;mso-position-horizontal-relative:margin;z-index:251692032;mso-width-relative:page;mso-height-relative:page;" fillcolor="#A9D18E [1945]" filled="t" stroked="t" coordsize="21600,21600" arcsize="0.166666666666667" o:gfxdata="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">
                <v:fill on="t" focussize="0,0"/>
                <v:stroke weight="3pt" color="#F2F2F2 [3201]" joinstyle="round"/>
                <v:imagedata o:title=""/>
                <o:lock v:ext="edit" aspectratio="f"/>
                <v:shadow on="t" color="#7F6000 [3207]" opacity="32768f" offset="1pt,2pt" origin="0f,0f" matrix="65536f,0f,0f,65536f"/>
                <v:textbox>
                  <w:txbxContent>
                    <w:p>
                      <w:pPr>
                        <w:ind w:right="-178"/>
                        <w:jc w:val="center"/>
                      </w:pPr>
                      <w:r>
                        <w:t>Bagian Pengelolaan Barang Milik Daerah</w:t>
                      </w:r>
                    </w:p>
                    <w:p>
                      <w:pPr>
                        <w:rPr>
                          <w:sz w:val="20"/>
                          <w:szCs w:val="20"/>
                        </w:rPr>
                      </w:pPr>
                    </w:p>
                  </w:txbxContent>
                </v:textbox>
              </v:roundrect>
            </w:pict>
          </mc:Fallback>
        </mc:AlternateContent>
      </w:r>
    </w:p>
    <w:p>
      <w:pPr>
        <w:rPr>
          <w:rFonts w:ascii="Cambria" w:hAnsi="Cambria"/>
        </w:rPr>
      </w:pPr>
    </w:p>
    <w:p>
      <w:pPr>
        <w:rPr>
          <w:rFonts w:ascii="Cambria" w:hAnsi="Cambria"/>
        </w:rPr>
      </w:pPr>
    </w:p>
    <w:p>
      <w:pPr>
        <w:rPr>
          <w:rFonts w:ascii="Cambria" w:hAnsi="Cambria"/>
        </w:rPr>
      </w:pPr>
    </w:p>
    <w:p>
      <w:pPr>
        <w:rPr>
          <w:rFonts w:ascii="Cambria" w:hAnsi="Cambria"/>
        </w:rPr>
      </w:pPr>
    </w:p>
    <w:p>
      <w:pPr>
        <w:rPr>
          <w:rFonts w:ascii="Cambria" w:hAnsi="Cambria"/>
        </w:rPr>
      </w:pPr>
    </w:p>
    <w:p>
      <w:pPr>
        <w:rPr>
          <w:rFonts w:ascii="Cambria" w:hAnsi="Cambria"/>
        </w:rPr>
      </w:pPr>
    </w:p>
    <w:p>
      <w:pPr>
        <w:rPr>
          <w:rFonts w:ascii="Cambria" w:hAnsi="Cambria"/>
        </w:rPr>
      </w:pPr>
    </w:p>
    <w:p>
      <w:pPr>
        <w:rPr>
          <w:rFonts w:ascii="Cambria" w:hAnsi="Cambria"/>
        </w:rPr>
      </w:pPr>
    </w:p>
    <w:p>
      <w:pPr>
        <w:rPr>
          <w:rFonts w:ascii="Cambria" w:hAnsi="Cambria"/>
        </w:rPr>
      </w:pPr>
    </w:p>
    <w:p>
      <w:pPr>
        <w:rPr>
          <w:rFonts w:ascii="Cambria" w:hAnsi="Cambria"/>
        </w:rPr>
      </w:pPr>
    </w:p>
    <w:p>
      <w:pPr>
        <w:rPr>
          <w:rFonts w:ascii="Cambria" w:hAnsi="Cambria"/>
        </w:rPr>
      </w:pPr>
    </w:p>
    <w:p>
      <w:pPr>
        <w:rPr>
          <w:rFonts w:ascii="Cambria" w:hAnsi="Cambria"/>
        </w:rPr>
      </w:pPr>
    </w:p>
    <w:p>
      <w:pPr>
        <w:rPr>
          <w:rFonts w:ascii="Cambria" w:hAnsi="Cambria"/>
        </w:rPr>
      </w:pPr>
    </w:p>
    <w:p>
      <w:pPr>
        <w:pStyle w:val="10"/>
        <w:spacing w:line="288" w:lineRule="auto"/>
        <w:ind w:firstLine="426"/>
        <w:jc w:val="both"/>
        <w:rPr>
          <w:rFonts w:hint="default" w:ascii="Times New Roman" w:hAnsi="Times New Roman" w:cs="Times New Roman"/>
          <w:color w:val="auto"/>
        </w:rPr>
      </w:pPr>
      <w:r>
        <w:rPr>
          <w:rFonts w:hint="default" w:ascii="Cambria" w:hAnsi="Cambria" w:cs="Cambria"/>
          <w:color w:val="auto"/>
          <w:sz w:val="22"/>
          <w:szCs w:val="22"/>
          <w:lang w:val="en-US"/>
        </w:rPr>
        <w:t>Masing-masing unsur o</w:t>
      </w:r>
      <w:r>
        <w:rPr>
          <w:rFonts w:hint="default" w:ascii="Cambria" w:hAnsi="Cambria" w:cs="Cambria"/>
          <w:color w:val="auto"/>
          <w:sz w:val="22"/>
          <w:szCs w:val="22"/>
        </w:rPr>
        <w:t xml:space="preserve">rganisasi </w:t>
      </w:r>
      <w:r>
        <w:rPr>
          <w:rFonts w:hint="default" w:ascii="Cambria" w:hAnsi="Cambria" w:cs="Cambria"/>
          <w:sz w:val="22"/>
          <w:szCs w:val="22"/>
        </w:rPr>
        <w:t>Biro Administrasi Pengadaan dan Pengelolaan Barang Milik Daerah</w:t>
      </w:r>
      <w:r>
        <w:rPr>
          <w:rFonts w:hint="default" w:ascii="Cambria" w:hAnsi="Cambria" w:cs="Cambria"/>
          <w:color w:val="auto"/>
          <w:sz w:val="22"/>
          <w:szCs w:val="22"/>
        </w:rPr>
        <w:t xml:space="preserve"> memiliki tugas dan fungsi </w:t>
      </w:r>
      <w:r>
        <w:rPr>
          <w:rFonts w:hint="default" w:ascii="Cambria" w:hAnsi="Cambria" w:cs="Cambria"/>
          <w:color w:val="auto"/>
          <w:sz w:val="22"/>
          <w:szCs w:val="22"/>
          <w:lang w:val="en-US"/>
        </w:rPr>
        <w:t xml:space="preserve">sebagaimana yang telah diatur melalui </w:t>
      </w:r>
      <w:r>
        <w:rPr>
          <w:rFonts w:hint="default" w:ascii="Cambria" w:hAnsi="Cambria" w:cs="Cambria"/>
          <w:color w:val="auto"/>
          <w:sz w:val="22"/>
          <w:szCs w:val="22"/>
        </w:rPr>
        <w:t>P</w:t>
      </w:r>
      <w:r>
        <w:rPr>
          <w:rFonts w:ascii="Cambria" w:hAnsi="Cambria" w:cs="Times New Roman"/>
          <w:color w:val="auto"/>
          <w:sz w:val="22"/>
          <w:szCs w:val="22"/>
        </w:rPr>
        <w:t xml:space="preserve">eraturan Gubernur Sumatera Barat Nomor </w:t>
      </w:r>
      <w:r>
        <w:rPr>
          <w:rFonts w:hint="default" w:ascii="Cambria" w:hAnsi="Cambria" w:cs="Times New Roman"/>
          <w:color w:val="auto"/>
          <w:sz w:val="22"/>
          <w:szCs w:val="22"/>
        </w:rPr>
        <w:t>69</w:t>
      </w:r>
      <w:r>
        <w:rPr>
          <w:rFonts w:ascii="Cambria" w:hAnsi="Cambria"/>
          <w:sz w:val="22"/>
          <w:szCs w:val="22"/>
        </w:rPr>
        <w:t xml:space="preserve"> Tahun 201</w:t>
      </w:r>
      <w:r>
        <w:rPr>
          <w:rFonts w:hint="default" w:ascii="Cambria" w:hAnsi="Cambria"/>
          <w:sz w:val="22"/>
          <w:szCs w:val="22"/>
        </w:rPr>
        <w:t>8</w:t>
      </w:r>
      <w:r>
        <w:rPr>
          <w:rFonts w:ascii="Cambria" w:hAnsi="Cambria"/>
          <w:sz w:val="22"/>
          <w:szCs w:val="22"/>
        </w:rPr>
        <w:t xml:space="preserve"> tentang </w:t>
      </w:r>
      <w:r>
        <w:rPr>
          <w:rFonts w:hint="default" w:ascii="Cambria" w:hAnsi="Cambria"/>
          <w:sz w:val="22"/>
          <w:szCs w:val="22"/>
        </w:rPr>
        <w:t xml:space="preserve">Uraian </w:t>
      </w:r>
      <w:r>
        <w:rPr>
          <w:rFonts w:ascii="Cambria" w:hAnsi="Cambria"/>
          <w:sz w:val="22"/>
          <w:szCs w:val="22"/>
        </w:rPr>
        <w:t xml:space="preserve">Tugas </w:t>
      </w:r>
      <w:r>
        <w:rPr>
          <w:rFonts w:hint="default" w:ascii="Cambria" w:hAnsi="Cambria"/>
          <w:sz w:val="22"/>
          <w:szCs w:val="22"/>
        </w:rPr>
        <w:t xml:space="preserve">Pokok </w:t>
      </w:r>
      <w:r>
        <w:rPr>
          <w:rFonts w:ascii="Cambria" w:hAnsi="Cambria"/>
          <w:sz w:val="22"/>
          <w:szCs w:val="22"/>
        </w:rPr>
        <w:t>dan Fungsi Sekretariat Daerah Provinsi Sumatera Barat</w:t>
      </w:r>
      <w:r>
        <w:rPr>
          <w:rFonts w:ascii="Cambria" w:hAnsi="Cambria" w:cs="Times New Roman"/>
          <w:color w:val="auto"/>
          <w:sz w:val="22"/>
          <w:szCs w:val="22"/>
        </w:rPr>
        <w:t xml:space="preserve"> </w:t>
      </w:r>
      <w:r>
        <w:rPr>
          <w:rFonts w:hint="default" w:ascii="Cambria" w:hAnsi="Cambria" w:cs="Times New Roman"/>
          <w:color w:val="auto"/>
          <w:sz w:val="22"/>
          <w:szCs w:val="22"/>
        </w:rPr>
        <w:t>sebagai berikut :</w:t>
      </w:r>
    </w:p>
    <w:p>
      <w:pPr>
        <w:pStyle w:val="10"/>
        <w:spacing w:line="288" w:lineRule="auto"/>
        <w:ind w:firstLine="426"/>
        <w:jc w:val="both"/>
        <w:rPr>
          <w:rFonts w:ascii="Times New Roman" w:hAnsi="Times New Roman" w:cs="Times New Roman"/>
          <w:color w:val="auto"/>
          <w:lang w:val="en-US"/>
        </w:rPr>
      </w:pPr>
    </w:p>
    <w:p>
      <w:pPr>
        <w:pStyle w:val="15"/>
        <w:numPr>
          <w:ilvl w:val="0"/>
          <w:numId w:val="3"/>
        </w:numPr>
        <w:spacing w:line="276" w:lineRule="auto"/>
        <w:ind w:left="284" w:hanging="284"/>
        <w:jc w:val="both"/>
        <w:rPr>
          <w:rFonts w:ascii="Cambria" w:hAnsi="Cambria"/>
        </w:rPr>
      </w:pPr>
      <w:r>
        <w:rPr>
          <w:rFonts w:ascii="Cambria" w:hAnsi="Cambria"/>
          <w:b/>
        </w:rPr>
        <w:t>Bagian Bina Sarana</w:t>
      </w:r>
      <w:r>
        <w:rPr>
          <w:rFonts w:ascii="Cambria" w:hAnsi="Cambria"/>
        </w:rPr>
        <w:t xml:space="preserve"> mempunyai tugas pokok melaksanakan perencanaan dan pembinaan barang milik daerah serta pengelolaan penatausahaan Biro. Dalam menyelenggarakan tugas pokok tersebut Bagian Bina Sarana mempunyai fungsi :</w:t>
      </w:r>
    </w:p>
    <w:p>
      <w:pPr>
        <w:pStyle w:val="15"/>
        <w:numPr>
          <w:ilvl w:val="0"/>
          <w:numId w:val="4"/>
        </w:numPr>
        <w:spacing w:after="200" w:line="276" w:lineRule="auto"/>
        <w:ind w:left="851"/>
        <w:jc w:val="both"/>
        <w:rPr>
          <w:rFonts w:ascii="Cambria" w:hAnsi="Cambria"/>
        </w:rPr>
      </w:pPr>
      <w:r>
        <w:rPr>
          <w:rFonts w:ascii="Cambria" w:hAnsi="Cambria"/>
        </w:rPr>
        <w:t>Penyiapan bahan perumusan kebijakan, pelaksanaan, evaluasi dan pelaporan di bidang perencanaan pengadaan barang milik daerah;</w:t>
      </w:r>
    </w:p>
    <w:p>
      <w:pPr>
        <w:pStyle w:val="15"/>
        <w:numPr>
          <w:ilvl w:val="0"/>
          <w:numId w:val="4"/>
        </w:numPr>
        <w:spacing w:after="200" w:line="276" w:lineRule="auto"/>
        <w:ind w:left="851"/>
        <w:jc w:val="both"/>
        <w:rPr>
          <w:rFonts w:ascii="Cambria" w:hAnsi="Cambria"/>
        </w:rPr>
      </w:pPr>
      <w:r>
        <w:rPr>
          <w:rFonts w:ascii="Cambria" w:hAnsi="Cambria"/>
        </w:rPr>
        <w:t>Penyiapan bahan perumusan kebijakan, pelaksanaan, evaluasi dan pelaporan di bidang pembinaan barang milik daerah; dan</w:t>
      </w:r>
    </w:p>
    <w:p>
      <w:pPr>
        <w:pStyle w:val="15"/>
        <w:numPr>
          <w:ilvl w:val="0"/>
          <w:numId w:val="4"/>
        </w:numPr>
        <w:spacing w:after="200" w:line="276" w:lineRule="auto"/>
        <w:ind w:left="851"/>
        <w:jc w:val="both"/>
        <w:rPr>
          <w:rFonts w:ascii="Cambria" w:hAnsi="Cambria"/>
        </w:rPr>
      </w:pPr>
      <w:r>
        <w:rPr>
          <w:rFonts w:ascii="Cambria" w:hAnsi="Cambria"/>
        </w:rPr>
        <w:t>Pelaksanaan tata usaha Biro.</w:t>
      </w:r>
    </w:p>
    <w:p>
      <w:pPr>
        <w:spacing w:line="276" w:lineRule="auto"/>
        <w:ind w:firstLine="426"/>
        <w:jc w:val="both"/>
        <w:rPr>
          <w:rFonts w:ascii="Cambria" w:hAnsi="Cambria"/>
        </w:rPr>
      </w:pPr>
      <w:r>
        <w:rPr>
          <w:rFonts w:ascii="Cambria" w:hAnsi="Cambria"/>
        </w:rPr>
        <w:t>Dibawah Bagian Bina Sarana, terdapat 3 Sub Bagian yang masing-masing memiliki fungsi sebagai berikut :</w:t>
      </w:r>
    </w:p>
    <w:p>
      <w:pPr>
        <w:pStyle w:val="15"/>
        <w:numPr>
          <w:ilvl w:val="1"/>
          <w:numId w:val="5"/>
        </w:numPr>
        <w:tabs>
          <w:tab w:val="left" w:pos="709"/>
          <w:tab w:val="clear" w:pos="1800"/>
        </w:tabs>
        <w:spacing w:after="200" w:line="276" w:lineRule="auto"/>
        <w:ind w:left="709"/>
        <w:jc w:val="both"/>
        <w:rPr>
          <w:rFonts w:ascii="Cambria" w:hAnsi="Cambria"/>
        </w:rPr>
      </w:pPr>
      <w:r>
        <w:rPr>
          <w:rFonts w:ascii="Cambria" w:hAnsi="Cambria"/>
        </w:rPr>
        <w:t>Sub Bagian Tata Usaha Biro, mempunyai fungsi :</w:t>
      </w:r>
    </w:p>
    <w:p>
      <w:pPr>
        <w:pStyle w:val="15"/>
        <w:numPr>
          <w:ilvl w:val="4"/>
          <w:numId w:val="5"/>
        </w:numPr>
        <w:tabs>
          <w:tab w:val="clear" w:pos="3960"/>
        </w:tabs>
        <w:spacing w:after="200" w:line="276" w:lineRule="auto"/>
        <w:ind w:left="1134"/>
        <w:jc w:val="both"/>
        <w:rPr>
          <w:rFonts w:ascii="Cambria" w:hAnsi="Cambria"/>
        </w:rPr>
      </w:pPr>
      <w:r>
        <w:rPr>
          <w:rFonts w:ascii="Cambria" w:hAnsi="Cambria"/>
        </w:rPr>
        <w:t>Pelaksanaan pengelolaan ketatausahaan Biro</w:t>
      </w:r>
    </w:p>
    <w:p>
      <w:pPr>
        <w:pStyle w:val="15"/>
        <w:numPr>
          <w:ilvl w:val="4"/>
          <w:numId w:val="5"/>
        </w:numPr>
        <w:tabs>
          <w:tab w:val="clear" w:pos="3960"/>
        </w:tabs>
        <w:spacing w:after="200" w:line="276" w:lineRule="auto"/>
        <w:ind w:left="1134"/>
        <w:jc w:val="both"/>
        <w:rPr>
          <w:rFonts w:ascii="Cambria" w:hAnsi="Cambria"/>
        </w:rPr>
      </w:pPr>
      <w:r>
        <w:rPr>
          <w:rFonts w:ascii="Cambria" w:hAnsi="Cambria"/>
        </w:rPr>
        <w:t>Pelaksanaan koordinasi dan fasilitasi ketatausahaan Biro</w:t>
      </w:r>
    </w:p>
    <w:p>
      <w:pPr>
        <w:pStyle w:val="15"/>
        <w:numPr>
          <w:ilvl w:val="4"/>
          <w:numId w:val="5"/>
        </w:numPr>
        <w:tabs>
          <w:tab w:val="clear" w:pos="3960"/>
        </w:tabs>
        <w:spacing w:after="200" w:line="276" w:lineRule="auto"/>
        <w:ind w:left="1134"/>
        <w:contextualSpacing w:val="0"/>
        <w:jc w:val="both"/>
        <w:rPr>
          <w:rFonts w:ascii="Cambria" w:hAnsi="Cambria"/>
        </w:rPr>
      </w:pPr>
      <w:r>
        <w:rPr>
          <w:rFonts w:ascii="Cambria" w:hAnsi="Cambria"/>
        </w:rPr>
        <w:t>Pelaksanaan pelaporan dan evaluasi ketatausahaan Biro</w:t>
      </w:r>
    </w:p>
    <w:p>
      <w:pPr>
        <w:pStyle w:val="15"/>
        <w:numPr>
          <w:ilvl w:val="1"/>
          <w:numId w:val="5"/>
        </w:numPr>
        <w:tabs>
          <w:tab w:val="left" w:pos="709"/>
          <w:tab w:val="clear" w:pos="1800"/>
        </w:tabs>
        <w:spacing w:after="200" w:line="276" w:lineRule="auto"/>
        <w:ind w:left="709" w:right="-228"/>
        <w:jc w:val="both"/>
        <w:rPr>
          <w:rFonts w:ascii="Cambria" w:hAnsi="Cambria"/>
        </w:rPr>
      </w:pPr>
      <w:r>
        <w:rPr>
          <w:rFonts w:ascii="Cambria" w:hAnsi="Cambria"/>
        </w:rPr>
        <w:t>Sub Bagian Perencanaan Pengadaan dan Barang Milik Daerah, mempunyai fungsi :</w:t>
      </w:r>
    </w:p>
    <w:p>
      <w:pPr>
        <w:pStyle w:val="15"/>
        <w:numPr>
          <w:ilvl w:val="4"/>
          <w:numId w:val="5"/>
        </w:numPr>
        <w:tabs>
          <w:tab w:val="clear" w:pos="3960"/>
        </w:tabs>
        <w:spacing w:after="200" w:line="276" w:lineRule="auto"/>
        <w:ind w:left="1134"/>
        <w:jc w:val="both"/>
        <w:rPr>
          <w:rFonts w:ascii="Cambria" w:hAnsi="Cambria"/>
        </w:rPr>
      </w:pPr>
      <w:r>
        <w:rPr>
          <w:rFonts w:ascii="Cambria" w:hAnsi="Cambria"/>
        </w:rPr>
        <w:t>Pelaksanaan penyusunan bahan kebijakan perencanaan pengadaan barang milik daerah</w:t>
      </w:r>
    </w:p>
    <w:p>
      <w:pPr>
        <w:pStyle w:val="15"/>
        <w:numPr>
          <w:ilvl w:val="4"/>
          <w:numId w:val="5"/>
        </w:numPr>
        <w:tabs>
          <w:tab w:val="clear" w:pos="3960"/>
        </w:tabs>
        <w:spacing w:after="200" w:line="276" w:lineRule="auto"/>
        <w:ind w:left="1134"/>
        <w:jc w:val="both"/>
        <w:rPr>
          <w:rFonts w:ascii="Cambria" w:hAnsi="Cambria"/>
        </w:rPr>
      </w:pPr>
      <w:r>
        <w:rPr>
          <w:rFonts w:ascii="Cambria" w:hAnsi="Cambria"/>
        </w:rPr>
        <w:t>Pelaksanaan perencanaan pengadaan barang milik daerah</w:t>
      </w:r>
    </w:p>
    <w:p>
      <w:pPr>
        <w:pStyle w:val="15"/>
        <w:numPr>
          <w:ilvl w:val="4"/>
          <w:numId w:val="5"/>
        </w:numPr>
        <w:tabs>
          <w:tab w:val="clear" w:pos="3960"/>
        </w:tabs>
        <w:spacing w:after="200" w:line="276" w:lineRule="auto"/>
        <w:ind w:left="1134"/>
        <w:contextualSpacing w:val="0"/>
        <w:jc w:val="both"/>
        <w:rPr>
          <w:rFonts w:ascii="Cambria" w:hAnsi="Cambria"/>
        </w:rPr>
      </w:pPr>
      <w:r>
        <w:rPr>
          <w:rFonts w:ascii="Cambria" w:hAnsi="Cambria"/>
        </w:rPr>
        <w:t>Pelaksanaan evaluasi dan pelaporan pelaksanaan tugas di bidang perencanaan pengadaan barang milik daerah</w:t>
      </w:r>
    </w:p>
    <w:p>
      <w:pPr>
        <w:pStyle w:val="15"/>
        <w:numPr>
          <w:ilvl w:val="1"/>
          <w:numId w:val="5"/>
        </w:numPr>
        <w:tabs>
          <w:tab w:val="left" w:pos="709"/>
          <w:tab w:val="clear" w:pos="1800"/>
        </w:tabs>
        <w:spacing w:after="200" w:line="276" w:lineRule="auto"/>
        <w:ind w:left="709"/>
        <w:jc w:val="both"/>
        <w:rPr>
          <w:rFonts w:ascii="Cambria" w:hAnsi="Cambria"/>
        </w:rPr>
      </w:pPr>
      <w:r>
        <w:rPr>
          <w:rFonts w:ascii="Cambria" w:hAnsi="Cambria"/>
        </w:rPr>
        <w:t>Sub Bagian Fasilitasi dan Pembinaan, mempunyai fungsi :</w:t>
      </w:r>
    </w:p>
    <w:p>
      <w:pPr>
        <w:pStyle w:val="15"/>
        <w:numPr>
          <w:ilvl w:val="4"/>
          <w:numId w:val="5"/>
        </w:numPr>
        <w:tabs>
          <w:tab w:val="clear" w:pos="3960"/>
        </w:tabs>
        <w:spacing w:after="200" w:line="276" w:lineRule="auto"/>
        <w:ind w:left="1134"/>
        <w:jc w:val="both"/>
        <w:rPr>
          <w:rFonts w:ascii="Cambria" w:hAnsi="Cambria"/>
        </w:rPr>
      </w:pPr>
      <w:r>
        <w:rPr>
          <w:rFonts w:ascii="Cambria" w:hAnsi="Cambria"/>
        </w:rPr>
        <w:t>Pelaksanaan penyusunan bahan kebijakan pembinaan Barang Milik Daerah</w:t>
      </w:r>
    </w:p>
    <w:p>
      <w:pPr>
        <w:pStyle w:val="15"/>
        <w:numPr>
          <w:ilvl w:val="4"/>
          <w:numId w:val="5"/>
        </w:numPr>
        <w:tabs>
          <w:tab w:val="clear" w:pos="3960"/>
        </w:tabs>
        <w:spacing w:after="200" w:line="276" w:lineRule="auto"/>
        <w:ind w:left="1134"/>
        <w:jc w:val="both"/>
        <w:rPr>
          <w:rFonts w:ascii="Cambria" w:hAnsi="Cambria"/>
        </w:rPr>
      </w:pPr>
      <w:r>
        <w:rPr>
          <w:rFonts w:ascii="Cambria" w:hAnsi="Cambria"/>
        </w:rPr>
        <w:t>Pelaksanaan pembinaan Barang Milik Daerah</w:t>
      </w:r>
    </w:p>
    <w:p>
      <w:pPr>
        <w:pStyle w:val="15"/>
        <w:numPr>
          <w:ilvl w:val="4"/>
          <w:numId w:val="5"/>
        </w:numPr>
        <w:tabs>
          <w:tab w:val="clear" w:pos="3960"/>
        </w:tabs>
        <w:spacing w:after="200" w:line="276" w:lineRule="auto"/>
        <w:ind w:left="1134"/>
        <w:jc w:val="both"/>
        <w:rPr>
          <w:rFonts w:ascii="Cambria" w:hAnsi="Cambria"/>
        </w:rPr>
      </w:pPr>
      <w:r>
        <w:rPr>
          <w:rFonts w:ascii="Cambria" w:hAnsi="Cambria"/>
        </w:rPr>
        <w:t>Pelaksanaan evaluasi dan pelaporan pelaksanaan tugas pembinaan Barang Milik Daerah</w:t>
      </w:r>
    </w:p>
    <w:p>
      <w:pPr>
        <w:pStyle w:val="15"/>
        <w:spacing w:after="200" w:line="276" w:lineRule="auto"/>
        <w:ind w:left="1134"/>
        <w:jc w:val="both"/>
        <w:rPr>
          <w:rFonts w:ascii="Cambria" w:hAnsi="Cambria"/>
        </w:rPr>
      </w:pPr>
    </w:p>
    <w:p>
      <w:pPr>
        <w:pStyle w:val="15"/>
        <w:numPr>
          <w:ilvl w:val="0"/>
          <w:numId w:val="3"/>
        </w:numPr>
        <w:spacing w:line="276" w:lineRule="auto"/>
        <w:ind w:left="426" w:hanging="426"/>
        <w:jc w:val="both"/>
        <w:rPr>
          <w:rFonts w:ascii="Cambria" w:hAnsi="Cambria"/>
        </w:rPr>
      </w:pPr>
      <w:r>
        <w:rPr>
          <w:rFonts w:ascii="Cambria" w:hAnsi="Cambria"/>
          <w:b/>
        </w:rPr>
        <w:t>Bagian Pengadaan Barang dan Jasa</w:t>
      </w:r>
      <w:r>
        <w:rPr>
          <w:rFonts w:ascii="Cambria" w:hAnsi="Cambria"/>
        </w:rPr>
        <w:t xml:space="preserve">.  </w:t>
      </w:r>
    </w:p>
    <w:p>
      <w:pPr>
        <w:pStyle w:val="15"/>
        <w:spacing w:line="276" w:lineRule="auto"/>
        <w:ind w:left="426"/>
        <w:jc w:val="both"/>
        <w:rPr>
          <w:rFonts w:ascii="Cambria" w:hAnsi="Cambria"/>
          <w:b/>
        </w:rPr>
      </w:pPr>
    </w:p>
    <w:p>
      <w:pPr>
        <w:pStyle w:val="15"/>
        <w:spacing w:line="276" w:lineRule="auto"/>
        <w:ind w:left="0" w:firstLine="426"/>
        <w:jc w:val="both"/>
        <w:rPr>
          <w:rFonts w:ascii="Cambria" w:hAnsi="Cambria"/>
        </w:rPr>
      </w:pPr>
      <w:r>
        <w:rPr>
          <w:rFonts w:ascii="Cambria" w:hAnsi="Cambria"/>
        </w:rPr>
        <w:t>Dibawah Bagian Pengadaan Barang dan Jasa, terdapat 3 Sub Bagian yang masing-masing memiliki fungsi sebagai berikut :</w:t>
      </w:r>
    </w:p>
    <w:p>
      <w:pPr>
        <w:pStyle w:val="15"/>
        <w:numPr>
          <w:ilvl w:val="0"/>
          <w:numId w:val="6"/>
        </w:numPr>
        <w:tabs>
          <w:tab w:val="clear" w:pos="1800"/>
        </w:tabs>
        <w:spacing w:after="200" w:line="276" w:lineRule="auto"/>
        <w:ind w:left="709" w:hanging="283"/>
        <w:jc w:val="both"/>
        <w:rPr>
          <w:rFonts w:ascii="Cambria" w:hAnsi="Cambria"/>
        </w:rPr>
      </w:pPr>
      <w:r>
        <w:rPr>
          <w:rFonts w:ascii="Cambria" w:hAnsi="Cambria"/>
        </w:rPr>
        <w:t>Sub Bagian Pembinaan Pengadaan Barang/Jasa</w:t>
      </w:r>
      <w:r>
        <w:rPr>
          <w:rFonts w:hint="default" w:ascii="Cambria" w:hAnsi="Cambria"/>
        </w:rPr>
        <w:t xml:space="preserve">, </w:t>
      </w:r>
      <w:r>
        <w:rPr>
          <w:rFonts w:ascii="Cambria" w:hAnsi="Cambria"/>
        </w:rPr>
        <w:t>mempunyai fungsi :</w:t>
      </w:r>
    </w:p>
    <w:p>
      <w:pPr>
        <w:pStyle w:val="15"/>
        <w:numPr>
          <w:ilvl w:val="0"/>
          <w:numId w:val="7"/>
        </w:numPr>
        <w:tabs>
          <w:tab w:val="clear" w:pos="425"/>
        </w:tabs>
        <w:spacing w:after="200" w:line="276" w:lineRule="auto"/>
        <w:ind w:left="1100" w:leftChars="0" w:hanging="425" w:firstLineChars="0"/>
        <w:jc w:val="both"/>
        <w:rPr>
          <w:rFonts w:ascii="Cambria" w:hAnsi="Cambria"/>
        </w:rPr>
      </w:pPr>
      <w:r>
        <w:rPr>
          <w:rFonts w:ascii="Cambria" w:hAnsi="Cambria"/>
        </w:rPr>
        <w:t xml:space="preserve">Pelaksanaan </w:t>
      </w:r>
      <w:r>
        <w:rPr>
          <w:rFonts w:hint="default" w:ascii="Cambria" w:hAnsi="Cambria"/>
        </w:rPr>
        <w:t>koordinasi dan fasilitasi di bidang pengadaan barang/jasa pemerintah</w:t>
      </w:r>
    </w:p>
    <w:p>
      <w:pPr>
        <w:pStyle w:val="15"/>
        <w:numPr>
          <w:ilvl w:val="0"/>
          <w:numId w:val="7"/>
        </w:numPr>
        <w:tabs>
          <w:tab w:val="clear" w:pos="425"/>
        </w:tabs>
        <w:spacing w:after="200" w:line="276" w:lineRule="auto"/>
        <w:ind w:left="1100" w:leftChars="0" w:hanging="425" w:firstLineChars="0"/>
        <w:jc w:val="both"/>
        <w:rPr>
          <w:rFonts w:ascii="Cambria" w:hAnsi="Cambria"/>
        </w:rPr>
      </w:pPr>
      <w:r>
        <w:rPr>
          <w:rFonts w:ascii="Cambria" w:hAnsi="Cambria"/>
        </w:rPr>
        <w:t>Pe</w:t>
      </w:r>
      <w:r>
        <w:rPr>
          <w:rFonts w:hint="default" w:ascii="Cambria" w:hAnsi="Cambria"/>
        </w:rPr>
        <w:t>mantauan dan evaluasi serta pelaporan pembinaan pengadaan barang/jasa</w:t>
      </w:r>
    </w:p>
    <w:p>
      <w:pPr>
        <w:pStyle w:val="15"/>
        <w:numPr>
          <w:ilvl w:val="0"/>
          <w:numId w:val="6"/>
        </w:numPr>
        <w:tabs>
          <w:tab w:val="clear" w:pos="1800"/>
        </w:tabs>
        <w:spacing w:after="200" w:line="276" w:lineRule="auto"/>
        <w:ind w:left="709" w:hanging="283"/>
        <w:jc w:val="both"/>
        <w:rPr>
          <w:rFonts w:ascii="Cambria" w:hAnsi="Cambria"/>
        </w:rPr>
      </w:pPr>
      <w:r>
        <w:rPr>
          <w:rFonts w:ascii="Cambria" w:hAnsi="Cambria"/>
        </w:rPr>
        <w:t>Sub Bagian Pelaksanaan Pengadaan Barang/Jasa</w:t>
      </w:r>
      <w:r>
        <w:rPr>
          <w:rFonts w:hint="default" w:ascii="Cambria" w:hAnsi="Cambria"/>
        </w:rPr>
        <w:t xml:space="preserve">, </w:t>
      </w:r>
      <w:r>
        <w:rPr>
          <w:rFonts w:ascii="Cambria" w:hAnsi="Cambria"/>
        </w:rPr>
        <w:t>mempunyai fungsi :</w:t>
      </w:r>
    </w:p>
    <w:p>
      <w:pPr>
        <w:pStyle w:val="15"/>
        <w:numPr>
          <w:ilvl w:val="0"/>
          <w:numId w:val="8"/>
        </w:numPr>
        <w:tabs>
          <w:tab w:val="clear" w:pos="425"/>
        </w:tabs>
        <w:spacing w:after="200" w:line="276" w:lineRule="auto"/>
        <w:ind w:left="1100" w:leftChars="0" w:hanging="425" w:firstLineChars="0"/>
        <w:jc w:val="both"/>
        <w:rPr>
          <w:rFonts w:ascii="Cambria" w:hAnsi="Cambria"/>
        </w:rPr>
      </w:pPr>
      <w:r>
        <w:rPr>
          <w:rFonts w:ascii="Cambria" w:hAnsi="Cambria"/>
        </w:rPr>
        <w:t>Pe</w:t>
      </w:r>
      <w:r>
        <w:rPr>
          <w:rFonts w:hint="default" w:ascii="Cambria" w:hAnsi="Cambria"/>
        </w:rPr>
        <w:t xml:space="preserve">nyiapan bahan pelaksanaan pengadaan barang/jasa </w:t>
      </w:r>
    </w:p>
    <w:p>
      <w:pPr>
        <w:pStyle w:val="15"/>
        <w:numPr>
          <w:ilvl w:val="0"/>
          <w:numId w:val="8"/>
        </w:numPr>
        <w:tabs>
          <w:tab w:val="clear" w:pos="425"/>
        </w:tabs>
        <w:spacing w:after="200" w:line="276" w:lineRule="auto"/>
        <w:ind w:left="1100" w:leftChars="0" w:hanging="425" w:firstLineChars="0"/>
        <w:jc w:val="both"/>
        <w:rPr>
          <w:rFonts w:ascii="Cambria" w:hAnsi="Cambria"/>
        </w:rPr>
      </w:pPr>
      <w:r>
        <w:rPr>
          <w:rFonts w:hint="default" w:ascii="Cambria" w:hAnsi="Cambria"/>
        </w:rPr>
        <w:t>Pelaksanaan evaluasi dan pelaporan peelaksanaan pengadaan barang/jasa</w:t>
      </w:r>
    </w:p>
    <w:p>
      <w:pPr>
        <w:pStyle w:val="15"/>
        <w:numPr>
          <w:ilvl w:val="0"/>
          <w:numId w:val="6"/>
        </w:numPr>
        <w:tabs>
          <w:tab w:val="clear" w:pos="1800"/>
        </w:tabs>
        <w:spacing w:after="200" w:line="276" w:lineRule="auto"/>
        <w:ind w:left="709" w:hanging="283"/>
        <w:jc w:val="both"/>
        <w:rPr>
          <w:rFonts w:ascii="Cambria" w:hAnsi="Cambria"/>
        </w:rPr>
      </w:pPr>
      <w:r>
        <w:rPr>
          <w:rFonts w:ascii="Cambria" w:hAnsi="Cambria"/>
        </w:rPr>
        <w:t>Sub Bagian Pengelolaan Sistem Informasi Pengadaan Barang/Jasa</w:t>
      </w:r>
      <w:r>
        <w:rPr>
          <w:rFonts w:hint="default" w:ascii="Cambria" w:hAnsi="Cambria"/>
        </w:rPr>
        <w:t xml:space="preserve">, </w:t>
      </w:r>
      <w:r>
        <w:rPr>
          <w:rFonts w:ascii="Cambria" w:hAnsi="Cambria"/>
        </w:rPr>
        <w:t>mempunyai fungsi :</w:t>
      </w:r>
    </w:p>
    <w:p>
      <w:pPr>
        <w:pStyle w:val="15"/>
        <w:numPr>
          <w:ilvl w:val="0"/>
          <w:numId w:val="9"/>
        </w:numPr>
        <w:tabs>
          <w:tab w:val="clear" w:pos="425"/>
        </w:tabs>
        <w:spacing w:after="200" w:line="276" w:lineRule="auto"/>
        <w:ind w:left="1100" w:leftChars="0" w:hanging="425" w:firstLineChars="0"/>
        <w:jc w:val="both"/>
        <w:rPr>
          <w:rFonts w:ascii="Cambria" w:hAnsi="Cambria"/>
        </w:rPr>
      </w:pPr>
      <w:r>
        <w:rPr>
          <w:rFonts w:ascii="Cambria" w:hAnsi="Cambria"/>
        </w:rPr>
        <w:t>Pe</w:t>
      </w:r>
      <w:r>
        <w:rPr>
          <w:rFonts w:hint="default" w:ascii="Cambria" w:hAnsi="Cambria"/>
        </w:rPr>
        <w:t xml:space="preserve">nyelenggaraan sistem </w:t>
      </w:r>
      <w:r>
        <w:rPr>
          <w:rFonts w:hint="default" w:ascii="Cambria" w:hAnsi="Cambria"/>
          <w:i/>
          <w:iCs/>
        </w:rPr>
        <w:t>e-procurement</w:t>
      </w:r>
    </w:p>
    <w:p>
      <w:pPr>
        <w:pStyle w:val="15"/>
        <w:numPr>
          <w:ilvl w:val="0"/>
          <w:numId w:val="9"/>
        </w:numPr>
        <w:tabs>
          <w:tab w:val="clear" w:pos="425"/>
        </w:tabs>
        <w:spacing w:after="200" w:line="276" w:lineRule="auto"/>
        <w:ind w:left="1100" w:leftChars="0" w:hanging="425" w:firstLineChars="0"/>
        <w:jc w:val="both"/>
        <w:rPr>
          <w:rFonts w:ascii="Cambria" w:hAnsi="Cambria"/>
        </w:rPr>
      </w:pPr>
      <w:r>
        <w:rPr>
          <w:rFonts w:ascii="Cambria" w:hAnsi="Cambria"/>
        </w:rPr>
        <w:t>Pe</w:t>
      </w:r>
      <w:r>
        <w:rPr>
          <w:rFonts w:hint="default" w:ascii="Cambria" w:hAnsi="Cambria"/>
        </w:rPr>
        <w:t>nyelenggaraan fungsi pemerintah provinsi di bidang sistem pengadaan barang/jasa secara elektronik</w:t>
      </w:r>
    </w:p>
    <w:p>
      <w:pPr>
        <w:pStyle w:val="15"/>
        <w:numPr>
          <w:ilvl w:val="0"/>
          <w:numId w:val="9"/>
        </w:numPr>
        <w:tabs>
          <w:tab w:val="clear" w:pos="425"/>
        </w:tabs>
        <w:spacing w:after="200" w:line="276" w:lineRule="auto"/>
        <w:ind w:left="1100" w:leftChars="0" w:hanging="425" w:firstLineChars="0"/>
        <w:jc w:val="both"/>
        <w:rPr>
          <w:rFonts w:ascii="Cambria" w:hAnsi="Cambria"/>
        </w:rPr>
      </w:pPr>
      <w:r>
        <w:rPr>
          <w:rFonts w:ascii="Cambria" w:hAnsi="Cambria"/>
        </w:rPr>
        <w:t>Pe</w:t>
      </w:r>
      <w:r>
        <w:rPr>
          <w:rFonts w:hint="default" w:ascii="Cambria" w:hAnsi="Cambria"/>
        </w:rPr>
        <w:t>nyelenggaraan koordinasi, pembinaan, bimbingan dan fasilitasi bidang layanan pengadaan barang/jasa secara elektronik</w:t>
      </w:r>
      <w:r>
        <w:rPr>
          <w:rFonts w:ascii="Cambria" w:hAnsi="Cambria"/>
        </w:rPr>
        <w:t xml:space="preserve"> </w:t>
      </w:r>
    </w:p>
    <w:p>
      <w:pPr>
        <w:pStyle w:val="15"/>
        <w:spacing w:after="200" w:line="276" w:lineRule="auto"/>
        <w:ind w:left="709"/>
        <w:jc w:val="both"/>
        <w:rPr>
          <w:rFonts w:ascii="Cambria" w:hAnsi="Cambria"/>
        </w:rPr>
      </w:pPr>
    </w:p>
    <w:p>
      <w:pPr>
        <w:pStyle w:val="15"/>
        <w:numPr>
          <w:ilvl w:val="0"/>
          <w:numId w:val="3"/>
        </w:numPr>
        <w:spacing w:before="240" w:line="276" w:lineRule="auto"/>
        <w:ind w:left="426"/>
        <w:jc w:val="both"/>
        <w:rPr>
          <w:rFonts w:ascii="Cambria" w:hAnsi="Cambria"/>
        </w:rPr>
      </w:pPr>
      <w:r>
        <w:rPr>
          <w:rFonts w:ascii="Cambria" w:hAnsi="Cambria"/>
          <w:b/>
        </w:rPr>
        <w:t>Bagian Pengelolaan Barang Milik Daerah</w:t>
      </w:r>
      <w:r>
        <w:rPr>
          <w:rFonts w:ascii="Cambria" w:hAnsi="Cambria"/>
        </w:rPr>
        <w:t xml:space="preserve"> mempunyai tugas pokok melaksanakan pengelolaan Barang Milik Daerah. Dalam menyelenggarakan tugas pokok tersebut Bagian Pengelolaan Barang Milik Daerah mempunyai fungsi :</w:t>
      </w:r>
    </w:p>
    <w:p>
      <w:pPr>
        <w:pStyle w:val="15"/>
        <w:numPr>
          <w:ilvl w:val="0"/>
          <w:numId w:val="10"/>
        </w:numPr>
        <w:spacing w:after="200" w:line="276" w:lineRule="auto"/>
        <w:ind w:left="851"/>
        <w:jc w:val="both"/>
        <w:rPr>
          <w:rFonts w:ascii="Cambria" w:hAnsi="Cambria"/>
        </w:rPr>
      </w:pPr>
      <w:r>
        <w:rPr>
          <w:rFonts w:ascii="Cambria" w:hAnsi="Cambria"/>
        </w:rPr>
        <w:t>Penyiapan bahan perumusan kebijakan, pelaksanaan, evaluasi dan pelaporan di bidang penatausahaan Barang Milik Daerah;</w:t>
      </w:r>
    </w:p>
    <w:p>
      <w:pPr>
        <w:pStyle w:val="15"/>
        <w:numPr>
          <w:ilvl w:val="0"/>
          <w:numId w:val="10"/>
        </w:numPr>
        <w:spacing w:after="200" w:line="276" w:lineRule="auto"/>
        <w:ind w:left="851"/>
        <w:jc w:val="both"/>
        <w:rPr>
          <w:rFonts w:ascii="Cambria" w:hAnsi="Cambria"/>
        </w:rPr>
      </w:pPr>
      <w:r>
        <w:rPr>
          <w:rFonts w:ascii="Cambria" w:hAnsi="Cambria"/>
        </w:rPr>
        <w:t>Penyiapan bahan perumusan kebijakan, pelaksanaan, evaluasi dan pelaporan di bidang pemanfaatan dan penilaian Barang Milik Daerah; dan</w:t>
      </w:r>
    </w:p>
    <w:p>
      <w:pPr>
        <w:pStyle w:val="15"/>
        <w:numPr>
          <w:ilvl w:val="0"/>
          <w:numId w:val="10"/>
        </w:numPr>
        <w:spacing w:after="200" w:line="276" w:lineRule="auto"/>
        <w:ind w:left="851"/>
        <w:jc w:val="both"/>
        <w:rPr>
          <w:rFonts w:ascii="Cambria" w:hAnsi="Cambria"/>
        </w:rPr>
      </w:pPr>
      <w:r>
        <w:rPr>
          <w:rFonts w:ascii="Cambria" w:hAnsi="Cambria"/>
        </w:rPr>
        <w:t>Penyiapan bahan perumusan kebijakan, pelaksanaan, evaluasi dan pelaporan di bidang perubahan status hukum Barang Milik Daerah.</w:t>
      </w:r>
    </w:p>
    <w:p>
      <w:pPr>
        <w:spacing w:line="276" w:lineRule="auto"/>
        <w:ind w:firstLine="491"/>
        <w:jc w:val="both"/>
        <w:rPr>
          <w:rFonts w:ascii="Cambria" w:hAnsi="Cambria"/>
        </w:rPr>
      </w:pPr>
      <w:r>
        <w:rPr>
          <w:rFonts w:ascii="Cambria" w:hAnsi="Cambria"/>
        </w:rPr>
        <w:t>Dibawah Bagian Pengelolaan Barang Milik Daerah, terdapat 3 Sub Bagian yang masing-masing memiliki fungsi sebagai berikut :</w:t>
      </w:r>
    </w:p>
    <w:p>
      <w:pPr>
        <w:pStyle w:val="15"/>
        <w:numPr>
          <w:ilvl w:val="0"/>
          <w:numId w:val="11"/>
        </w:numPr>
        <w:tabs>
          <w:tab w:val="clear" w:pos="1800"/>
        </w:tabs>
        <w:spacing w:after="200" w:line="276" w:lineRule="auto"/>
        <w:ind w:left="851" w:hanging="284"/>
        <w:jc w:val="both"/>
        <w:rPr>
          <w:rFonts w:ascii="Cambria" w:hAnsi="Cambria"/>
        </w:rPr>
      </w:pPr>
      <w:r>
        <w:rPr>
          <w:rFonts w:ascii="Cambria" w:hAnsi="Cambria"/>
        </w:rPr>
        <w:t>Sub Bagian Penatausahaan Barang Milik Daerah, mempunyai fungsi :</w:t>
      </w:r>
    </w:p>
    <w:p>
      <w:pPr>
        <w:pStyle w:val="15"/>
        <w:numPr>
          <w:ilvl w:val="0"/>
          <w:numId w:val="12"/>
        </w:numPr>
        <w:tabs>
          <w:tab w:val="clear" w:pos="3960"/>
        </w:tabs>
        <w:spacing w:after="200" w:line="276" w:lineRule="auto"/>
        <w:ind w:left="1276" w:hanging="425"/>
        <w:jc w:val="both"/>
        <w:rPr>
          <w:rFonts w:ascii="Cambria" w:hAnsi="Cambria"/>
        </w:rPr>
      </w:pPr>
      <w:r>
        <w:rPr>
          <w:rFonts w:ascii="Cambria" w:hAnsi="Cambria"/>
        </w:rPr>
        <w:t>Pelaksanaan penyusunan bahan kebijakan Penatausahaan Barang Milik Daerah</w:t>
      </w:r>
    </w:p>
    <w:p>
      <w:pPr>
        <w:pStyle w:val="15"/>
        <w:numPr>
          <w:ilvl w:val="0"/>
          <w:numId w:val="12"/>
        </w:numPr>
        <w:tabs>
          <w:tab w:val="clear" w:pos="3960"/>
        </w:tabs>
        <w:spacing w:after="200" w:line="276" w:lineRule="auto"/>
        <w:ind w:left="1276" w:hanging="425"/>
        <w:jc w:val="both"/>
        <w:rPr>
          <w:rFonts w:ascii="Cambria" w:hAnsi="Cambria"/>
        </w:rPr>
      </w:pPr>
      <w:r>
        <w:rPr>
          <w:rFonts w:ascii="Cambria" w:hAnsi="Cambria"/>
        </w:rPr>
        <w:t>Pelaksanaan penatausahaan Barang Milik Daerah</w:t>
      </w:r>
    </w:p>
    <w:p>
      <w:pPr>
        <w:pStyle w:val="15"/>
        <w:numPr>
          <w:ilvl w:val="0"/>
          <w:numId w:val="12"/>
        </w:numPr>
        <w:tabs>
          <w:tab w:val="clear" w:pos="3960"/>
        </w:tabs>
        <w:spacing w:after="200" w:line="276" w:lineRule="auto"/>
        <w:ind w:left="1276" w:hanging="425"/>
        <w:jc w:val="both"/>
        <w:rPr>
          <w:rFonts w:ascii="Cambria" w:hAnsi="Cambria"/>
        </w:rPr>
      </w:pPr>
      <w:r>
        <w:rPr>
          <w:rFonts w:ascii="Cambria" w:hAnsi="Cambria"/>
        </w:rPr>
        <w:t>Pelaksanaan evaluasi dan pelaporan pelaksanaan tugas penatausahaan Barang Milik Daerah</w:t>
      </w:r>
    </w:p>
    <w:p>
      <w:pPr>
        <w:pStyle w:val="15"/>
        <w:numPr>
          <w:ilvl w:val="0"/>
          <w:numId w:val="11"/>
        </w:numPr>
        <w:tabs>
          <w:tab w:val="clear" w:pos="1800"/>
        </w:tabs>
        <w:spacing w:after="200" w:line="276" w:lineRule="auto"/>
        <w:ind w:left="851" w:hanging="284"/>
        <w:jc w:val="both"/>
        <w:rPr>
          <w:rFonts w:ascii="Cambria" w:hAnsi="Cambria"/>
        </w:rPr>
      </w:pPr>
      <w:r>
        <w:rPr>
          <w:rFonts w:ascii="Cambria" w:hAnsi="Cambria"/>
        </w:rPr>
        <w:t>Sub Bagian Pemanfaatan Barang Milik Daerah, mempunyai fungsi :</w:t>
      </w:r>
    </w:p>
    <w:p>
      <w:pPr>
        <w:pStyle w:val="15"/>
        <w:numPr>
          <w:ilvl w:val="0"/>
          <w:numId w:val="13"/>
        </w:numPr>
        <w:tabs>
          <w:tab w:val="clear" w:pos="1800"/>
        </w:tabs>
        <w:spacing w:after="200" w:line="276" w:lineRule="auto"/>
        <w:ind w:left="1276" w:hanging="425"/>
        <w:jc w:val="both"/>
        <w:rPr>
          <w:rFonts w:ascii="Cambria" w:hAnsi="Cambria"/>
        </w:rPr>
      </w:pPr>
      <w:r>
        <w:rPr>
          <w:rFonts w:ascii="Cambria" w:hAnsi="Cambria"/>
        </w:rPr>
        <w:t>Pe</w:t>
      </w:r>
      <w:r>
        <w:rPr>
          <w:rFonts w:hint="default" w:ascii="Cambria" w:hAnsi="Cambria"/>
        </w:rPr>
        <w:t>laksanaan penyusunan</w:t>
      </w:r>
      <w:r>
        <w:rPr>
          <w:rFonts w:ascii="Cambria" w:hAnsi="Cambria"/>
        </w:rPr>
        <w:t xml:space="preserve"> bahan kebijakan</w:t>
      </w:r>
      <w:r>
        <w:rPr>
          <w:rFonts w:hint="default" w:ascii="Cambria" w:hAnsi="Cambria"/>
        </w:rPr>
        <w:t xml:space="preserve"> Pe</w:t>
      </w:r>
      <w:r>
        <w:rPr>
          <w:rFonts w:ascii="Cambria" w:hAnsi="Cambria"/>
        </w:rPr>
        <w:t>manfaatan dan Penilaian Barang Milik Daerah</w:t>
      </w:r>
    </w:p>
    <w:p>
      <w:pPr>
        <w:pStyle w:val="15"/>
        <w:numPr>
          <w:ilvl w:val="0"/>
          <w:numId w:val="13"/>
        </w:numPr>
        <w:tabs>
          <w:tab w:val="clear" w:pos="1800"/>
        </w:tabs>
        <w:spacing w:after="200" w:line="276" w:lineRule="auto"/>
        <w:ind w:left="1276" w:hanging="425"/>
        <w:jc w:val="both"/>
        <w:rPr>
          <w:rFonts w:ascii="Cambria" w:hAnsi="Cambria"/>
        </w:rPr>
      </w:pPr>
      <w:r>
        <w:rPr>
          <w:rFonts w:ascii="Cambria" w:hAnsi="Cambria"/>
        </w:rPr>
        <w:t>Pelaksanaan Pemanfaatan dan Penilaian Barang Milik Daerah</w:t>
      </w:r>
    </w:p>
    <w:p>
      <w:pPr>
        <w:pStyle w:val="15"/>
        <w:numPr>
          <w:ilvl w:val="0"/>
          <w:numId w:val="13"/>
        </w:numPr>
        <w:tabs>
          <w:tab w:val="clear" w:pos="1800"/>
        </w:tabs>
        <w:spacing w:after="200" w:line="276" w:lineRule="auto"/>
        <w:ind w:left="1276" w:hanging="425"/>
        <w:contextualSpacing w:val="0"/>
        <w:jc w:val="both"/>
        <w:rPr>
          <w:rFonts w:ascii="Cambria" w:hAnsi="Cambria"/>
        </w:rPr>
      </w:pPr>
      <w:r>
        <w:rPr>
          <w:rFonts w:ascii="Cambria" w:hAnsi="Cambria"/>
        </w:rPr>
        <w:t>Pelaksanaan evaluasi dan pelaporan pelaksanaan tugas Pemanfaatan dan Penilaian Barang Milik Daerah</w:t>
      </w:r>
    </w:p>
    <w:p>
      <w:pPr>
        <w:pStyle w:val="15"/>
        <w:numPr>
          <w:ilvl w:val="0"/>
          <w:numId w:val="11"/>
        </w:numPr>
        <w:tabs>
          <w:tab w:val="clear" w:pos="1800"/>
        </w:tabs>
        <w:spacing w:after="200" w:line="276" w:lineRule="auto"/>
        <w:ind w:left="851" w:hanging="284"/>
        <w:jc w:val="both"/>
        <w:rPr>
          <w:rFonts w:ascii="Cambria" w:hAnsi="Cambria"/>
        </w:rPr>
      </w:pPr>
      <w:r>
        <w:rPr>
          <w:rFonts w:ascii="Cambria" w:hAnsi="Cambria"/>
        </w:rPr>
        <w:t>Sub Bagian Perubahan Status Hukum, mempunyai fungsi :</w:t>
      </w:r>
    </w:p>
    <w:p>
      <w:pPr>
        <w:pStyle w:val="15"/>
        <w:numPr>
          <w:ilvl w:val="0"/>
          <w:numId w:val="14"/>
        </w:numPr>
        <w:tabs>
          <w:tab w:val="clear" w:pos="1800"/>
        </w:tabs>
        <w:spacing w:after="200" w:line="276" w:lineRule="auto"/>
        <w:ind w:left="1276" w:hanging="425"/>
        <w:jc w:val="both"/>
        <w:rPr>
          <w:rFonts w:ascii="Cambria" w:hAnsi="Cambria"/>
        </w:rPr>
      </w:pPr>
      <w:r>
        <w:rPr>
          <w:rFonts w:ascii="Cambria" w:hAnsi="Cambria"/>
        </w:rPr>
        <w:t>Pelaksanaan penyusunan bahan kebijakan Perubahan Status Hukum</w:t>
      </w:r>
    </w:p>
    <w:p>
      <w:pPr>
        <w:pStyle w:val="15"/>
        <w:numPr>
          <w:ilvl w:val="0"/>
          <w:numId w:val="14"/>
        </w:numPr>
        <w:tabs>
          <w:tab w:val="clear" w:pos="1800"/>
        </w:tabs>
        <w:spacing w:after="200" w:line="276" w:lineRule="auto"/>
        <w:ind w:left="1276" w:hanging="425"/>
        <w:jc w:val="both"/>
        <w:rPr>
          <w:rFonts w:ascii="Cambria" w:hAnsi="Cambria"/>
        </w:rPr>
      </w:pPr>
      <w:r>
        <w:rPr>
          <w:rFonts w:ascii="Cambria" w:hAnsi="Cambria"/>
        </w:rPr>
        <w:t>Pelaksanaan Perubahan Status Hukum</w:t>
      </w:r>
    </w:p>
    <w:p>
      <w:pPr>
        <w:pStyle w:val="15"/>
        <w:numPr>
          <w:ilvl w:val="0"/>
          <w:numId w:val="14"/>
        </w:numPr>
        <w:tabs>
          <w:tab w:val="clear" w:pos="1800"/>
        </w:tabs>
        <w:spacing w:after="200" w:line="276" w:lineRule="auto"/>
        <w:ind w:left="1276" w:hanging="425"/>
        <w:contextualSpacing w:val="0"/>
        <w:jc w:val="both"/>
        <w:rPr>
          <w:rFonts w:ascii="Cambria" w:hAnsi="Cambria"/>
        </w:rPr>
      </w:pPr>
      <w:r>
        <w:rPr>
          <w:rFonts w:ascii="Cambria" w:hAnsi="Cambria"/>
        </w:rPr>
        <w:t>Pelaksanaan evaluasi dan pelaporan pelaksanaan tugas Perubahan Status Hukum</w:t>
      </w:r>
    </w:p>
    <w:p>
      <w:pPr>
        <w:widowControl w:val="0"/>
        <w:spacing w:line="276" w:lineRule="auto"/>
        <w:ind w:left="425" w:hanging="425"/>
        <w:jc w:val="both"/>
        <w:rPr>
          <w:rFonts w:ascii="Cambria" w:hAnsi="Cambria"/>
          <w:b/>
          <w:bCs/>
          <w:sz w:val="10"/>
          <w:szCs w:val="10"/>
        </w:rPr>
      </w:pPr>
    </w:p>
    <w:p>
      <w:pPr>
        <w:widowControl w:val="0"/>
        <w:spacing w:line="276" w:lineRule="auto"/>
        <w:ind w:left="425" w:hanging="425"/>
        <w:jc w:val="both"/>
        <w:rPr>
          <w:rFonts w:ascii="Cambria" w:hAnsi="Cambria"/>
          <w:b/>
          <w:bCs/>
        </w:rPr>
      </w:pPr>
      <w:r>
        <w:rPr>
          <w:rFonts w:ascii="Cambria" w:hAnsi="Cambria"/>
          <w:b/>
          <w:bCs/>
        </w:rPr>
        <w:t xml:space="preserve">2.2. </w:t>
      </w:r>
      <w:r>
        <w:rPr>
          <w:rFonts w:ascii="Cambria" w:hAnsi="Cambria"/>
          <w:b/>
          <w:bCs/>
          <w:lang w:val="sv-SE"/>
        </w:rPr>
        <w:t xml:space="preserve">Sumber Daya </w:t>
      </w:r>
      <w:r>
        <w:rPr>
          <w:rFonts w:ascii="Cambria" w:hAnsi="Cambria"/>
          <w:b/>
        </w:rPr>
        <w:t>Biro Administrasi Pengadaan dan Pengelolaan Barang Milik Daerah</w:t>
      </w:r>
      <w:r>
        <w:rPr>
          <w:rFonts w:ascii="Cambria" w:hAnsi="Cambria"/>
          <w:b/>
          <w:bCs/>
        </w:rPr>
        <w:t xml:space="preserve"> Provinsi Sumatera Barat</w:t>
      </w:r>
    </w:p>
    <w:p>
      <w:pPr>
        <w:widowControl w:val="0"/>
        <w:spacing w:line="276" w:lineRule="auto"/>
        <w:ind w:left="425" w:hanging="425"/>
        <w:jc w:val="both"/>
        <w:rPr>
          <w:rFonts w:ascii="Cambria" w:hAnsi="Cambria"/>
          <w:b/>
          <w:bCs/>
        </w:rPr>
      </w:pPr>
      <w:r>
        <w:rPr>
          <w:rFonts w:ascii="Cambria" w:hAnsi="Cambria"/>
          <w:b/>
          <w:bCs/>
        </w:rPr>
        <w:t>2.2.1. Sumber Daya Manusia</w:t>
      </w:r>
    </w:p>
    <w:p>
      <w:pPr>
        <w:spacing w:line="276" w:lineRule="auto"/>
        <w:ind w:firstLine="635"/>
        <w:jc w:val="both"/>
        <w:rPr>
          <w:rFonts w:ascii="Cambria" w:hAnsi="Cambria"/>
          <w:lang w:val="en-US"/>
        </w:rPr>
      </w:pPr>
      <w:r>
        <w:rPr>
          <w:rFonts w:ascii="Cambria" w:hAnsi="Cambria"/>
          <w:lang w:val="sv-SE"/>
        </w:rPr>
        <w:t>Berdasarkan Peraturan Daerah No</w:t>
      </w:r>
      <w:r>
        <w:rPr>
          <w:rFonts w:ascii="Cambria" w:hAnsi="Cambria"/>
        </w:rPr>
        <w:t xml:space="preserve">mor </w:t>
      </w:r>
      <w:r>
        <w:rPr>
          <w:rFonts w:ascii="Cambria" w:hAnsi="Cambria"/>
          <w:lang w:val="en-US"/>
        </w:rPr>
        <w:t>8</w:t>
      </w:r>
      <w:r>
        <w:rPr>
          <w:rFonts w:ascii="Cambria" w:hAnsi="Cambria"/>
          <w:lang w:val="sv-SE"/>
        </w:rPr>
        <w:t xml:space="preserve"> </w:t>
      </w:r>
      <w:r>
        <w:rPr>
          <w:rFonts w:ascii="Cambria" w:hAnsi="Cambria"/>
        </w:rPr>
        <w:t>T</w:t>
      </w:r>
      <w:r>
        <w:rPr>
          <w:rFonts w:ascii="Cambria" w:hAnsi="Cambria"/>
          <w:lang w:val="sv-SE"/>
        </w:rPr>
        <w:t xml:space="preserve">ahun 2016 tentang Pembentukan dan Susunan Perangkat Daerah yang dijabarkan melalui </w:t>
      </w:r>
      <w:r>
        <w:rPr>
          <w:rFonts w:ascii="Cambria" w:hAnsi="Cambria" w:cs="Times New Roman"/>
        </w:rPr>
        <w:t xml:space="preserve">Peraturan Gubernur Sumatera Barat Nomor 116 Tahun 2017 tentang </w:t>
      </w:r>
      <w:r>
        <w:rPr>
          <w:rFonts w:ascii="Cambria" w:hAnsi="Cambria"/>
        </w:rPr>
        <w:t>Perubahan Kedua Atas Peraturan Gubernur Sumatera Barat Nomor 68 Tahun 2016 tentang Kedudukan, Susunan Organisasi, Tugas dan Fungsi serta Tata Kerja Sekretariat Daerah Provinsi Sumatera Barat</w:t>
      </w:r>
      <w:r>
        <w:rPr>
          <w:rFonts w:hint="default" w:ascii="Cambria" w:hAnsi="Cambria"/>
        </w:rPr>
        <w:t xml:space="preserve"> </w:t>
      </w:r>
      <w:r>
        <w:rPr>
          <w:rFonts w:hint="default" w:ascii="Cambria" w:hAnsi="Cambria"/>
          <w:sz w:val="22"/>
          <w:szCs w:val="22"/>
        </w:rPr>
        <w:t>dan Peraturan Gubernur Sumatera Barat Nomor 69 Tahun 2018 tentang Uraian Tugas Pokok dan Fungsi Sekretariat Daerah Provinsi Sumatera Barat</w:t>
      </w:r>
      <w:r>
        <w:rPr>
          <w:rFonts w:ascii="Cambria" w:hAnsi="Cambria"/>
          <w:lang w:val="sv-SE"/>
        </w:rPr>
        <w:t>,</w:t>
      </w:r>
      <w:r>
        <w:rPr>
          <w:rFonts w:ascii="Cambria" w:hAnsi="Cambria"/>
        </w:rPr>
        <w:t xml:space="preserve"> </w:t>
      </w:r>
      <w:r>
        <w:rPr>
          <w:rFonts w:ascii="Cambria" w:hAnsi="Cambria"/>
          <w:lang w:val="en-US"/>
        </w:rPr>
        <w:t xml:space="preserve">maka </w:t>
      </w:r>
      <w:r>
        <w:rPr>
          <w:rFonts w:ascii="Cambria" w:hAnsi="Cambria" w:cs="Times New Roman"/>
        </w:rPr>
        <w:t>Biro Administrasi Pengadaan dan Pengelolaan Barang Milik Daerah</w:t>
      </w:r>
      <w:r>
        <w:rPr>
          <w:rFonts w:ascii="Cambria" w:hAnsi="Cambria"/>
        </w:rPr>
        <w:t xml:space="preserve"> memiliki s</w:t>
      </w:r>
      <w:r>
        <w:rPr>
          <w:rFonts w:ascii="Cambria" w:hAnsi="Cambria"/>
          <w:lang w:val="sv-SE"/>
        </w:rPr>
        <w:t xml:space="preserve">truktur </w:t>
      </w:r>
      <w:r>
        <w:rPr>
          <w:rFonts w:ascii="Cambria" w:hAnsi="Cambria"/>
        </w:rPr>
        <w:t>o</w:t>
      </w:r>
      <w:r>
        <w:rPr>
          <w:rFonts w:ascii="Cambria" w:hAnsi="Cambria"/>
          <w:lang w:val="sv-SE"/>
        </w:rPr>
        <w:t>rganisasi</w:t>
      </w:r>
      <w:r>
        <w:rPr>
          <w:rFonts w:ascii="Cambria" w:hAnsi="Cambria"/>
        </w:rPr>
        <w:t xml:space="preserve"> dan staf pendukung sebagaimana </w:t>
      </w:r>
      <w:r>
        <w:rPr>
          <w:rFonts w:ascii="Cambria" w:hAnsi="Cambria"/>
          <w:lang w:val="en-US"/>
        </w:rPr>
        <w:t xml:space="preserve">tercantum </w:t>
      </w:r>
      <w:r>
        <w:rPr>
          <w:rFonts w:ascii="Cambria" w:hAnsi="Cambria"/>
        </w:rPr>
        <w:t xml:space="preserve">pada Tabel 2.1 berikut : </w:t>
      </w:r>
    </w:p>
    <w:p>
      <w:pPr>
        <w:widowControl w:val="0"/>
        <w:spacing w:after="0" w:line="240" w:lineRule="auto"/>
        <w:jc w:val="center"/>
        <w:rPr>
          <w:rFonts w:ascii="Cambria" w:hAnsi="Cambria"/>
          <w:b/>
        </w:rPr>
      </w:pPr>
      <w:r>
        <w:rPr>
          <w:rFonts w:ascii="Cambria" w:hAnsi="Cambria"/>
          <w:b/>
        </w:rPr>
        <w:t>Tabel 2.1</w:t>
      </w:r>
    </w:p>
    <w:p>
      <w:pPr>
        <w:widowControl w:val="0"/>
        <w:spacing w:after="0" w:line="240" w:lineRule="auto"/>
        <w:jc w:val="center"/>
        <w:rPr>
          <w:rFonts w:ascii="Cambria" w:hAnsi="Cambria"/>
          <w:b/>
        </w:rPr>
      </w:pPr>
      <w:r>
        <w:rPr>
          <w:rFonts w:ascii="Cambria" w:hAnsi="Cambria"/>
          <w:b/>
        </w:rPr>
        <w:t>Kondisi Kepegawaian Berdasarkan Eselon Jabatan</w:t>
      </w:r>
    </w:p>
    <w:p>
      <w:pPr>
        <w:widowControl w:val="0"/>
        <w:spacing w:after="0" w:line="240" w:lineRule="auto"/>
        <w:jc w:val="center"/>
        <w:rPr>
          <w:rFonts w:ascii="Cambria" w:hAnsi="Cambria"/>
          <w:b/>
          <w:lang w:val="fi-FI"/>
        </w:rPr>
      </w:pPr>
    </w:p>
    <w:tbl>
      <w:tblPr>
        <w:tblStyle w:val="7"/>
        <w:tblW w:w="8954" w:type="dxa"/>
        <w:tblInd w:w="-14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95"/>
        <w:gridCol w:w="2624"/>
        <w:gridCol w:w="979"/>
        <w:gridCol w:w="980"/>
        <w:gridCol w:w="979"/>
        <w:gridCol w:w="1229"/>
        <w:gridCol w:w="798"/>
        <w:gridCol w:w="8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5" w:hRule="atLeast"/>
        </w:trPr>
        <w:tc>
          <w:tcPr>
            <w:tcW w:w="495" w:type="dxa"/>
            <w:shd w:val="clear" w:color="auto" w:fill="F65688"/>
            <w:vAlign w:val="center"/>
          </w:tcPr>
          <w:p>
            <w:pPr>
              <w:spacing w:before="40" w:after="40"/>
              <w:jc w:val="center"/>
              <w:rPr>
                <w:rFonts w:ascii="Cambria" w:hAnsi="Cambria" w:eastAsia="Times New Roman"/>
                <w:b/>
                <w:sz w:val="20"/>
                <w:szCs w:val="20"/>
              </w:rPr>
            </w:pPr>
            <w:r>
              <w:rPr>
                <w:rFonts w:ascii="Cambria" w:hAnsi="Cambria" w:eastAsia="Times New Roman"/>
                <w:b/>
                <w:sz w:val="20"/>
                <w:szCs w:val="20"/>
              </w:rPr>
              <w:t>No</w:t>
            </w:r>
          </w:p>
        </w:tc>
        <w:tc>
          <w:tcPr>
            <w:tcW w:w="2624" w:type="dxa"/>
            <w:shd w:val="clear" w:color="auto" w:fill="F65688"/>
            <w:vAlign w:val="center"/>
          </w:tcPr>
          <w:p>
            <w:pPr>
              <w:spacing w:before="40" w:after="40"/>
              <w:jc w:val="center"/>
              <w:rPr>
                <w:rFonts w:ascii="Cambria" w:hAnsi="Cambria" w:eastAsia="Times New Roman"/>
                <w:b/>
                <w:sz w:val="20"/>
                <w:szCs w:val="20"/>
              </w:rPr>
            </w:pPr>
            <w:r>
              <w:rPr>
                <w:rFonts w:ascii="Cambria" w:hAnsi="Cambria" w:eastAsia="Times New Roman"/>
                <w:b/>
                <w:sz w:val="20"/>
                <w:szCs w:val="20"/>
              </w:rPr>
              <w:t>Uraian</w:t>
            </w:r>
          </w:p>
        </w:tc>
        <w:tc>
          <w:tcPr>
            <w:tcW w:w="979" w:type="dxa"/>
            <w:shd w:val="clear" w:color="auto" w:fill="F65688"/>
            <w:vAlign w:val="center"/>
          </w:tcPr>
          <w:p>
            <w:pPr>
              <w:spacing w:before="40" w:after="40"/>
              <w:jc w:val="center"/>
              <w:rPr>
                <w:rFonts w:ascii="Cambria" w:hAnsi="Cambria" w:eastAsia="Times New Roman"/>
                <w:b/>
                <w:sz w:val="20"/>
                <w:szCs w:val="20"/>
              </w:rPr>
            </w:pPr>
            <w:r>
              <w:rPr>
                <w:rFonts w:ascii="Cambria" w:hAnsi="Cambria" w:eastAsia="Times New Roman"/>
                <w:b/>
                <w:sz w:val="20"/>
                <w:szCs w:val="20"/>
              </w:rPr>
              <w:t>Eselon II</w:t>
            </w:r>
          </w:p>
        </w:tc>
        <w:tc>
          <w:tcPr>
            <w:tcW w:w="980" w:type="dxa"/>
            <w:shd w:val="clear" w:color="auto" w:fill="F65688"/>
            <w:vAlign w:val="center"/>
          </w:tcPr>
          <w:p>
            <w:pPr>
              <w:spacing w:before="40" w:after="40"/>
              <w:jc w:val="center"/>
              <w:rPr>
                <w:rFonts w:ascii="Cambria" w:hAnsi="Cambria" w:eastAsia="Times New Roman"/>
                <w:b/>
                <w:sz w:val="20"/>
                <w:szCs w:val="20"/>
              </w:rPr>
            </w:pPr>
            <w:r>
              <w:rPr>
                <w:rFonts w:ascii="Cambria" w:hAnsi="Cambria" w:eastAsia="Times New Roman"/>
                <w:b/>
                <w:sz w:val="20"/>
                <w:szCs w:val="20"/>
              </w:rPr>
              <w:t>Eselon III</w:t>
            </w:r>
          </w:p>
        </w:tc>
        <w:tc>
          <w:tcPr>
            <w:tcW w:w="979" w:type="dxa"/>
            <w:shd w:val="clear" w:color="auto" w:fill="F65688"/>
            <w:vAlign w:val="center"/>
          </w:tcPr>
          <w:p>
            <w:pPr>
              <w:spacing w:before="40" w:after="40"/>
              <w:jc w:val="center"/>
              <w:rPr>
                <w:rFonts w:ascii="Cambria" w:hAnsi="Cambria" w:eastAsia="Times New Roman"/>
                <w:b/>
                <w:sz w:val="20"/>
                <w:szCs w:val="20"/>
              </w:rPr>
            </w:pPr>
            <w:r>
              <w:rPr>
                <w:rFonts w:ascii="Cambria" w:hAnsi="Cambria" w:eastAsia="Times New Roman"/>
                <w:b/>
                <w:sz w:val="20"/>
                <w:szCs w:val="20"/>
              </w:rPr>
              <w:t>Eselon IV</w:t>
            </w:r>
          </w:p>
        </w:tc>
        <w:tc>
          <w:tcPr>
            <w:tcW w:w="1229" w:type="dxa"/>
            <w:shd w:val="clear" w:color="auto" w:fill="F65688"/>
          </w:tcPr>
          <w:p>
            <w:pPr>
              <w:spacing w:before="40" w:after="40"/>
              <w:jc w:val="center"/>
              <w:rPr>
                <w:rFonts w:ascii="Cambria" w:hAnsi="Cambria" w:eastAsia="Times New Roman"/>
                <w:b/>
                <w:sz w:val="20"/>
                <w:szCs w:val="20"/>
              </w:rPr>
            </w:pPr>
            <w:r>
              <w:rPr>
                <w:rFonts w:ascii="Cambria" w:hAnsi="Cambria" w:eastAsia="Times New Roman"/>
                <w:b/>
                <w:sz w:val="20"/>
                <w:szCs w:val="20"/>
              </w:rPr>
              <w:t>Jabatan Fungsional</w:t>
            </w:r>
          </w:p>
        </w:tc>
        <w:tc>
          <w:tcPr>
            <w:tcW w:w="798" w:type="dxa"/>
            <w:shd w:val="clear" w:color="auto" w:fill="F65688"/>
            <w:vAlign w:val="center"/>
          </w:tcPr>
          <w:p>
            <w:pPr>
              <w:spacing w:before="40" w:after="40"/>
              <w:jc w:val="center"/>
              <w:rPr>
                <w:rFonts w:ascii="Cambria" w:hAnsi="Cambria" w:eastAsia="Times New Roman"/>
                <w:b/>
                <w:sz w:val="20"/>
                <w:szCs w:val="20"/>
              </w:rPr>
            </w:pPr>
            <w:r>
              <w:rPr>
                <w:rFonts w:ascii="Cambria" w:hAnsi="Cambria" w:eastAsia="Times New Roman"/>
                <w:b/>
                <w:sz w:val="20"/>
                <w:szCs w:val="20"/>
              </w:rPr>
              <w:t>Staf</w:t>
            </w:r>
          </w:p>
        </w:tc>
        <w:tc>
          <w:tcPr>
            <w:tcW w:w="870" w:type="dxa"/>
            <w:shd w:val="clear" w:color="auto" w:fill="F65688"/>
            <w:vAlign w:val="center"/>
          </w:tcPr>
          <w:p>
            <w:pPr>
              <w:spacing w:before="40" w:after="40"/>
              <w:jc w:val="center"/>
              <w:rPr>
                <w:rFonts w:ascii="Cambria" w:hAnsi="Cambria" w:eastAsia="Times New Roman"/>
                <w:b/>
                <w:sz w:val="20"/>
                <w:szCs w:val="20"/>
              </w:rPr>
            </w:pPr>
            <w:r>
              <w:rPr>
                <w:rFonts w:ascii="Cambria" w:hAnsi="Cambria" w:eastAsia="Times New Roman"/>
                <w:b/>
                <w:sz w:val="20"/>
                <w:szCs w:val="20"/>
              </w:rPr>
              <w:t>Jumlah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6" w:hRule="atLeast"/>
        </w:trPr>
        <w:tc>
          <w:tcPr>
            <w:tcW w:w="495" w:type="dxa"/>
            <w:shd w:val="clear" w:color="auto" w:fill="FEC6C6"/>
            <w:vAlign w:val="center"/>
          </w:tcPr>
          <w:p>
            <w:pPr>
              <w:spacing w:after="0" w:line="240" w:lineRule="auto"/>
              <w:jc w:val="center"/>
              <w:rPr>
                <w:rFonts w:ascii="Cambria" w:hAnsi="Cambria" w:eastAsia="Times New Roman"/>
                <w:sz w:val="20"/>
                <w:szCs w:val="20"/>
              </w:rPr>
            </w:pPr>
            <w:r>
              <w:rPr>
                <w:rFonts w:ascii="Cambria" w:hAnsi="Cambria" w:eastAsia="Times New Roman"/>
                <w:sz w:val="20"/>
                <w:szCs w:val="20"/>
              </w:rPr>
              <w:t>1.</w:t>
            </w:r>
          </w:p>
        </w:tc>
        <w:tc>
          <w:tcPr>
            <w:tcW w:w="2624" w:type="dxa"/>
            <w:shd w:val="clear" w:color="auto" w:fill="FEC6C6"/>
            <w:vAlign w:val="center"/>
          </w:tcPr>
          <w:p>
            <w:pPr>
              <w:spacing w:after="0" w:line="240" w:lineRule="auto"/>
              <w:rPr>
                <w:rFonts w:ascii="Cambria" w:hAnsi="Cambria" w:eastAsia="Times New Roman"/>
                <w:sz w:val="20"/>
                <w:szCs w:val="20"/>
              </w:rPr>
            </w:pPr>
            <w:r>
              <w:rPr>
                <w:rFonts w:ascii="Cambria" w:hAnsi="Cambria" w:eastAsia="Times New Roman"/>
                <w:sz w:val="20"/>
                <w:szCs w:val="20"/>
              </w:rPr>
              <w:t>Kepala Biro</w:t>
            </w:r>
          </w:p>
        </w:tc>
        <w:tc>
          <w:tcPr>
            <w:tcW w:w="979" w:type="dxa"/>
            <w:shd w:val="clear" w:color="auto" w:fill="FEC6C6"/>
            <w:vAlign w:val="center"/>
          </w:tcPr>
          <w:p>
            <w:pPr>
              <w:spacing w:after="0" w:line="240" w:lineRule="auto"/>
              <w:jc w:val="center"/>
              <w:rPr>
                <w:rFonts w:ascii="Cambria" w:hAnsi="Cambria" w:eastAsia="Times New Roman"/>
                <w:sz w:val="20"/>
                <w:szCs w:val="20"/>
                <w:lang w:val="en-US"/>
              </w:rPr>
            </w:pPr>
            <w:r>
              <w:rPr>
                <w:rFonts w:ascii="Cambria" w:hAnsi="Cambria" w:eastAsia="Times New Roman"/>
                <w:sz w:val="20"/>
                <w:szCs w:val="20"/>
                <w:lang w:val="en-US"/>
              </w:rPr>
              <w:t>1</w:t>
            </w:r>
          </w:p>
        </w:tc>
        <w:tc>
          <w:tcPr>
            <w:tcW w:w="980" w:type="dxa"/>
            <w:shd w:val="clear" w:color="auto" w:fill="FEC6C6"/>
            <w:vAlign w:val="center"/>
          </w:tcPr>
          <w:p>
            <w:pPr>
              <w:spacing w:after="0" w:line="240" w:lineRule="auto"/>
              <w:jc w:val="center"/>
              <w:rPr>
                <w:rFonts w:ascii="Cambria" w:hAnsi="Cambria" w:eastAsia="Times New Roman"/>
                <w:sz w:val="20"/>
                <w:szCs w:val="20"/>
              </w:rPr>
            </w:pPr>
          </w:p>
        </w:tc>
        <w:tc>
          <w:tcPr>
            <w:tcW w:w="979" w:type="dxa"/>
            <w:shd w:val="clear" w:color="auto" w:fill="FEC6C6"/>
            <w:vAlign w:val="center"/>
          </w:tcPr>
          <w:p>
            <w:pPr>
              <w:spacing w:after="0" w:line="240" w:lineRule="auto"/>
              <w:jc w:val="center"/>
              <w:rPr>
                <w:rFonts w:ascii="Cambria" w:hAnsi="Cambria" w:eastAsia="Times New Roman"/>
                <w:sz w:val="20"/>
                <w:szCs w:val="20"/>
              </w:rPr>
            </w:pPr>
          </w:p>
        </w:tc>
        <w:tc>
          <w:tcPr>
            <w:tcW w:w="1229" w:type="dxa"/>
            <w:shd w:val="clear" w:color="auto" w:fill="FEC6C6"/>
          </w:tcPr>
          <w:p>
            <w:pPr>
              <w:spacing w:after="0" w:line="240" w:lineRule="auto"/>
              <w:jc w:val="center"/>
              <w:rPr>
                <w:rFonts w:ascii="Cambria" w:hAnsi="Cambria" w:eastAsia="Times New Roman"/>
                <w:sz w:val="20"/>
                <w:szCs w:val="20"/>
              </w:rPr>
            </w:pPr>
          </w:p>
        </w:tc>
        <w:tc>
          <w:tcPr>
            <w:tcW w:w="798" w:type="dxa"/>
            <w:shd w:val="clear" w:color="auto" w:fill="FEC6C6"/>
            <w:vAlign w:val="center"/>
          </w:tcPr>
          <w:p>
            <w:pPr>
              <w:spacing w:after="0" w:line="240" w:lineRule="auto"/>
              <w:jc w:val="center"/>
              <w:rPr>
                <w:rFonts w:ascii="Cambria" w:hAnsi="Cambria" w:eastAsia="Times New Roman"/>
                <w:sz w:val="20"/>
                <w:szCs w:val="20"/>
              </w:rPr>
            </w:pPr>
          </w:p>
        </w:tc>
        <w:tc>
          <w:tcPr>
            <w:tcW w:w="870" w:type="dxa"/>
            <w:shd w:val="clear" w:color="auto" w:fill="FEC6C6"/>
            <w:vAlign w:val="center"/>
          </w:tcPr>
          <w:p>
            <w:pPr>
              <w:spacing w:after="0" w:line="240" w:lineRule="auto"/>
              <w:jc w:val="center"/>
              <w:rPr>
                <w:rFonts w:ascii="Cambria" w:hAnsi="Cambria" w:eastAsia="Times New Roman"/>
                <w:sz w:val="20"/>
                <w:szCs w:val="20"/>
                <w:lang w:val="en-US"/>
              </w:rPr>
            </w:pPr>
            <w:r>
              <w:rPr>
                <w:rFonts w:ascii="Cambria" w:hAnsi="Cambria" w:eastAsia="Times New Roman"/>
                <w:sz w:val="20"/>
                <w:szCs w:val="20"/>
                <w:lang w:val="en-US"/>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2" w:hRule="atLeast"/>
        </w:trPr>
        <w:tc>
          <w:tcPr>
            <w:tcW w:w="495" w:type="dxa"/>
            <w:shd w:val="clear" w:color="auto" w:fill="FEC6C6"/>
            <w:vAlign w:val="center"/>
          </w:tcPr>
          <w:p>
            <w:pPr>
              <w:spacing w:after="0" w:line="240" w:lineRule="auto"/>
              <w:jc w:val="center"/>
              <w:rPr>
                <w:rFonts w:ascii="Cambria" w:hAnsi="Cambria" w:eastAsia="Times New Roman"/>
                <w:sz w:val="20"/>
                <w:szCs w:val="20"/>
              </w:rPr>
            </w:pPr>
            <w:r>
              <w:rPr>
                <w:rFonts w:ascii="Cambria" w:hAnsi="Cambria" w:eastAsia="Times New Roman"/>
                <w:sz w:val="20"/>
                <w:szCs w:val="20"/>
              </w:rPr>
              <w:t>2.</w:t>
            </w:r>
          </w:p>
        </w:tc>
        <w:tc>
          <w:tcPr>
            <w:tcW w:w="2624" w:type="dxa"/>
            <w:shd w:val="clear" w:color="auto" w:fill="FEC6C6"/>
            <w:vAlign w:val="center"/>
          </w:tcPr>
          <w:p>
            <w:pPr>
              <w:spacing w:after="0" w:line="240" w:lineRule="auto"/>
              <w:rPr>
                <w:rFonts w:ascii="Cambria" w:hAnsi="Cambria" w:eastAsia="Times New Roman"/>
                <w:sz w:val="20"/>
                <w:szCs w:val="20"/>
              </w:rPr>
            </w:pPr>
            <w:r>
              <w:rPr>
                <w:rFonts w:ascii="Cambria" w:hAnsi="Cambria" w:eastAsia="Times New Roman"/>
                <w:sz w:val="20"/>
                <w:szCs w:val="20"/>
              </w:rPr>
              <w:t>Bagian Bina Sarana</w:t>
            </w:r>
          </w:p>
        </w:tc>
        <w:tc>
          <w:tcPr>
            <w:tcW w:w="979" w:type="dxa"/>
            <w:shd w:val="clear" w:color="auto" w:fill="FEC6C6"/>
            <w:vAlign w:val="center"/>
          </w:tcPr>
          <w:p>
            <w:pPr>
              <w:spacing w:after="0" w:line="240" w:lineRule="auto"/>
              <w:jc w:val="center"/>
              <w:rPr>
                <w:rFonts w:ascii="Cambria" w:hAnsi="Cambria" w:eastAsia="Times New Roman"/>
                <w:sz w:val="20"/>
                <w:szCs w:val="20"/>
              </w:rPr>
            </w:pPr>
          </w:p>
        </w:tc>
        <w:tc>
          <w:tcPr>
            <w:tcW w:w="980" w:type="dxa"/>
            <w:shd w:val="clear" w:color="auto" w:fill="FEC6C6"/>
            <w:vAlign w:val="center"/>
          </w:tcPr>
          <w:p>
            <w:pPr>
              <w:spacing w:after="0" w:line="240" w:lineRule="auto"/>
              <w:jc w:val="center"/>
              <w:rPr>
                <w:rFonts w:ascii="Cambria" w:hAnsi="Cambria" w:eastAsia="Times New Roman"/>
                <w:sz w:val="20"/>
                <w:szCs w:val="20"/>
              </w:rPr>
            </w:pPr>
            <w:r>
              <w:rPr>
                <w:rFonts w:ascii="Cambria" w:hAnsi="Cambria" w:eastAsia="Times New Roman"/>
                <w:sz w:val="20"/>
                <w:szCs w:val="20"/>
              </w:rPr>
              <w:t>1</w:t>
            </w:r>
          </w:p>
        </w:tc>
        <w:tc>
          <w:tcPr>
            <w:tcW w:w="979" w:type="dxa"/>
            <w:shd w:val="clear" w:color="auto" w:fill="FEC6C6"/>
            <w:vAlign w:val="center"/>
          </w:tcPr>
          <w:p>
            <w:pPr>
              <w:spacing w:after="0" w:line="240" w:lineRule="auto"/>
              <w:jc w:val="center"/>
              <w:rPr>
                <w:rFonts w:ascii="Cambria" w:hAnsi="Cambria" w:eastAsia="Times New Roman"/>
                <w:sz w:val="20"/>
                <w:szCs w:val="20"/>
              </w:rPr>
            </w:pPr>
            <w:r>
              <w:rPr>
                <w:rFonts w:ascii="Cambria" w:hAnsi="Cambria" w:eastAsia="Times New Roman"/>
                <w:sz w:val="20"/>
                <w:szCs w:val="20"/>
              </w:rPr>
              <w:t>3</w:t>
            </w:r>
          </w:p>
        </w:tc>
        <w:tc>
          <w:tcPr>
            <w:tcW w:w="1229" w:type="dxa"/>
            <w:shd w:val="clear" w:color="auto" w:fill="FEC6C6"/>
          </w:tcPr>
          <w:p>
            <w:pPr>
              <w:spacing w:after="0" w:line="240" w:lineRule="auto"/>
              <w:jc w:val="center"/>
              <w:rPr>
                <w:rFonts w:ascii="Cambria" w:hAnsi="Cambria" w:eastAsia="Times New Roman"/>
                <w:sz w:val="20"/>
                <w:szCs w:val="20"/>
                <w:lang w:val="en-US"/>
              </w:rPr>
            </w:pPr>
          </w:p>
        </w:tc>
        <w:tc>
          <w:tcPr>
            <w:tcW w:w="798" w:type="dxa"/>
            <w:shd w:val="clear" w:color="auto" w:fill="FEC6C6"/>
            <w:vAlign w:val="center"/>
          </w:tcPr>
          <w:p>
            <w:pPr>
              <w:spacing w:after="0" w:line="240" w:lineRule="auto"/>
              <w:jc w:val="center"/>
              <w:rPr>
                <w:rFonts w:hint="default" w:ascii="Cambria" w:hAnsi="Cambria" w:eastAsia="Times New Roman"/>
                <w:sz w:val="20"/>
                <w:szCs w:val="20"/>
              </w:rPr>
            </w:pPr>
            <w:r>
              <w:rPr>
                <w:rFonts w:hint="default" w:ascii="Cambria" w:hAnsi="Cambria" w:eastAsia="Times New Roman"/>
                <w:sz w:val="20"/>
                <w:szCs w:val="20"/>
              </w:rPr>
              <w:t>14</w:t>
            </w:r>
          </w:p>
        </w:tc>
        <w:tc>
          <w:tcPr>
            <w:tcW w:w="870" w:type="dxa"/>
            <w:shd w:val="clear" w:color="auto" w:fill="FEC6C6"/>
            <w:vAlign w:val="center"/>
          </w:tcPr>
          <w:p>
            <w:pPr>
              <w:spacing w:after="0" w:line="240" w:lineRule="auto"/>
              <w:jc w:val="center"/>
              <w:rPr>
                <w:rFonts w:hint="default" w:ascii="Cambria" w:hAnsi="Cambria" w:eastAsia="Times New Roman"/>
                <w:sz w:val="20"/>
                <w:szCs w:val="20"/>
              </w:rPr>
            </w:pPr>
            <w:r>
              <w:rPr>
                <w:rFonts w:hint="default" w:ascii="Cambria" w:hAnsi="Cambria" w:eastAsia="Times New Roman"/>
                <w:sz w:val="20"/>
                <w:szCs w:val="20"/>
              </w:rPr>
              <w:t>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38" w:hRule="atLeast"/>
        </w:trPr>
        <w:tc>
          <w:tcPr>
            <w:tcW w:w="495" w:type="dxa"/>
            <w:shd w:val="clear" w:color="auto" w:fill="FEC6C6"/>
            <w:vAlign w:val="center"/>
          </w:tcPr>
          <w:p>
            <w:pPr>
              <w:spacing w:after="0" w:line="240" w:lineRule="auto"/>
              <w:jc w:val="center"/>
              <w:rPr>
                <w:rFonts w:ascii="Cambria" w:hAnsi="Cambria" w:eastAsia="Times New Roman"/>
                <w:sz w:val="20"/>
                <w:szCs w:val="20"/>
              </w:rPr>
            </w:pPr>
            <w:r>
              <w:rPr>
                <w:rFonts w:ascii="Cambria" w:hAnsi="Cambria" w:eastAsia="Times New Roman"/>
                <w:sz w:val="20"/>
                <w:szCs w:val="20"/>
              </w:rPr>
              <w:t>3.</w:t>
            </w:r>
          </w:p>
        </w:tc>
        <w:tc>
          <w:tcPr>
            <w:tcW w:w="2624" w:type="dxa"/>
            <w:shd w:val="clear" w:color="auto" w:fill="FEC6C6"/>
            <w:vAlign w:val="center"/>
          </w:tcPr>
          <w:p>
            <w:pPr>
              <w:spacing w:after="0" w:line="240" w:lineRule="auto"/>
              <w:rPr>
                <w:rFonts w:ascii="Cambria" w:hAnsi="Cambria" w:eastAsia="Times New Roman"/>
                <w:sz w:val="20"/>
                <w:szCs w:val="20"/>
                <w:lang w:val="en-US"/>
              </w:rPr>
            </w:pPr>
            <w:r>
              <w:rPr>
                <w:rFonts w:ascii="Cambria" w:hAnsi="Cambria" w:eastAsia="Times New Roman"/>
                <w:sz w:val="20"/>
                <w:szCs w:val="20"/>
              </w:rPr>
              <w:t>Bagian Pengadaan Barang dan Jasa</w:t>
            </w:r>
          </w:p>
        </w:tc>
        <w:tc>
          <w:tcPr>
            <w:tcW w:w="979" w:type="dxa"/>
            <w:shd w:val="clear" w:color="auto" w:fill="FEC6C6"/>
            <w:vAlign w:val="center"/>
          </w:tcPr>
          <w:p>
            <w:pPr>
              <w:spacing w:after="0" w:line="240" w:lineRule="auto"/>
              <w:jc w:val="center"/>
              <w:rPr>
                <w:rFonts w:ascii="Cambria" w:hAnsi="Cambria" w:eastAsia="Times New Roman"/>
                <w:sz w:val="20"/>
                <w:szCs w:val="20"/>
              </w:rPr>
            </w:pPr>
          </w:p>
        </w:tc>
        <w:tc>
          <w:tcPr>
            <w:tcW w:w="980" w:type="dxa"/>
            <w:shd w:val="clear" w:color="auto" w:fill="FEC6C6"/>
            <w:vAlign w:val="center"/>
          </w:tcPr>
          <w:p>
            <w:pPr>
              <w:spacing w:after="0" w:line="240" w:lineRule="auto"/>
              <w:jc w:val="center"/>
              <w:rPr>
                <w:rFonts w:ascii="Cambria" w:hAnsi="Cambria" w:eastAsia="Times New Roman"/>
                <w:sz w:val="20"/>
                <w:szCs w:val="20"/>
              </w:rPr>
            </w:pPr>
            <w:r>
              <w:rPr>
                <w:rFonts w:ascii="Cambria" w:hAnsi="Cambria" w:eastAsia="Times New Roman"/>
                <w:sz w:val="20"/>
                <w:szCs w:val="20"/>
              </w:rPr>
              <w:t>1</w:t>
            </w:r>
          </w:p>
        </w:tc>
        <w:tc>
          <w:tcPr>
            <w:tcW w:w="979" w:type="dxa"/>
            <w:shd w:val="clear" w:color="auto" w:fill="FEC6C6"/>
            <w:vAlign w:val="center"/>
          </w:tcPr>
          <w:p>
            <w:pPr>
              <w:spacing w:after="0" w:line="240" w:lineRule="auto"/>
              <w:jc w:val="center"/>
              <w:rPr>
                <w:rFonts w:hint="default" w:ascii="Cambria" w:hAnsi="Cambria" w:eastAsia="Times New Roman"/>
                <w:sz w:val="20"/>
                <w:szCs w:val="20"/>
              </w:rPr>
            </w:pPr>
            <w:r>
              <w:rPr>
                <w:rFonts w:hint="default" w:ascii="Cambria" w:hAnsi="Cambria" w:eastAsia="Times New Roman"/>
                <w:sz w:val="20"/>
                <w:szCs w:val="20"/>
              </w:rPr>
              <w:t>2</w:t>
            </w:r>
          </w:p>
        </w:tc>
        <w:tc>
          <w:tcPr>
            <w:tcW w:w="1229" w:type="dxa"/>
            <w:shd w:val="clear" w:color="auto" w:fill="FEC6C6"/>
          </w:tcPr>
          <w:p>
            <w:pPr>
              <w:spacing w:after="0" w:line="240" w:lineRule="auto"/>
              <w:jc w:val="center"/>
              <w:rPr>
                <w:rFonts w:ascii="Cambria" w:hAnsi="Cambria" w:eastAsia="Times New Roman"/>
                <w:color w:val="000000" w:themeColor="text1"/>
                <w:sz w:val="20"/>
                <w:szCs w:val="20"/>
                <w14:textFill>
                  <w14:solidFill>
                    <w14:schemeClr w14:val="tx1"/>
                  </w14:solidFill>
                </w14:textFill>
              </w:rPr>
            </w:pPr>
          </w:p>
        </w:tc>
        <w:tc>
          <w:tcPr>
            <w:tcW w:w="798" w:type="dxa"/>
            <w:shd w:val="clear" w:color="auto" w:fill="FEC6C6"/>
            <w:vAlign w:val="center"/>
          </w:tcPr>
          <w:p>
            <w:pPr>
              <w:spacing w:after="0" w:line="240" w:lineRule="auto"/>
              <w:jc w:val="center"/>
              <w:rPr>
                <w:rFonts w:hint="default" w:ascii="Cambria" w:hAnsi="Cambria" w:eastAsia="Times New Roman"/>
                <w:color w:val="000000" w:themeColor="text1"/>
                <w:sz w:val="20"/>
                <w:szCs w:val="20"/>
                <w14:textFill>
                  <w14:solidFill>
                    <w14:schemeClr w14:val="tx1"/>
                  </w14:solidFill>
                </w14:textFill>
              </w:rPr>
            </w:pPr>
            <w:r>
              <w:rPr>
                <w:rFonts w:hint="default" w:ascii="Cambria" w:hAnsi="Cambria" w:eastAsia="Times New Roman"/>
                <w:color w:val="000000" w:themeColor="text1"/>
                <w:sz w:val="20"/>
                <w:szCs w:val="20"/>
                <w14:textFill>
                  <w14:solidFill>
                    <w14:schemeClr w14:val="tx1"/>
                  </w14:solidFill>
                </w14:textFill>
              </w:rPr>
              <w:t>10</w:t>
            </w:r>
          </w:p>
        </w:tc>
        <w:tc>
          <w:tcPr>
            <w:tcW w:w="870" w:type="dxa"/>
            <w:shd w:val="clear" w:color="auto" w:fill="FEC6C6"/>
            <w:vAlign w:val="center"/>
          </w:tcPr>
          <w:p>
            <w:pPr>
              <w:spacing w:after="0" w:line="240" w:lineRule="auto"/>
              <w:jc w:val="center"/>
              <w:rPr>
                <w:rFonts w:hint="default" w:ascii="Cambria" w:hAnsi="Cambria" w:eastAsia="Times New Roman"/>
                <w:color w:val="000000" w:themeColor="text1"/>
                <w:sz w:val="20"/>
                <w:szCs w:val="20"/>
                <w14:textFill>
                  <w14:solidFill>
                    <w14:schemeClr w14:val="tx1"/>
                  </w14:solidFill>
                </w14:textFill>
              </w:rPr>
            </w:pPr>
            <w:r>
              <w:rPr>
                <w:rFonts w:hint="default" w:ascii="Cambria" w:hAnsi="Cambria" w:eastAsia="Times New Roman"/>
                <w:color w:val="000000" w:themeColor="text1"/>
                <w:sz w:val="20"/>
                <w:szCs w:val="20"/>
                <w14:textFill>
                  <w14:solidFill>
                    <w14:schemeClr w14:val="tx1"/>
                  </w14:solidFill>
                </w14:textFill>
              </w:rPr>
              <w:t>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3" w:hRule="atLeast"/>
        </w:trPr>
        <w:tc>
          <w:tcPr>
            <w:tcW w:w="495" w:type="dxa"/>
            <w:shd w:val="clear" w:color="auto" w:fill="FEC6C6"/>
            <w:vAlign w:val="center"/>
          </w:tcPr>
          <w:p>
            <w:pPr>
              <w:spacing w:after="0" w:line="240" w:lineRule="auto"/>
              <w:jc w:val="center"/>
              <w:rPr>
                <w:rFonts w:ascii="Cambria" w:hAnsi="Cambria" w:eastAsia="Times New Roman"/>
                <w:sz w:val="20"/>
                <w:szCs w:val="20"/>
              </w:rPr>
            </w:pPr>
            <w:r>
              <w:rPr>
                <w:rFonts w:ascii="Cambria" w:hAnsi="Cambria" w:eastAsia="Times New Roman"/>
                <w:sz w:val="20"/>
                <w:szCs w:val="20"/>
              </w:rPr>
              <w:t>4.</w:t>
            </w:r>
          </w:p>
        </w:tc>
        <w:tc>
          <w:tcPr>
            <w:tcW w:w="2624" w:type="dxa"/>
            <w:shd w:val="clear" w:color="auto" w:fill="FEC6C6"/>
            <w:vAlign w:val="center"/>
          </w:tcPr>
          <w:p>
            <w:pPr>
              <w:spacing w:after="0" w:line="240" w:lineRule="auto"/>
              <w:rPr>
                <w:rFonts w:ascii="Cambria" w:hAnsi="Cambria" w:eastAsia="Times New Roman"/>
                <w:sz w:val="20"/>
                <w:szCs w:val="20"/>
              </w:rPr>
            </w:pPr>
            <w:r>
              <w:rPr>
                <w:rFonts w:ascii="Cambria" w:hAnsi="Cambria" w:eastAsia="Times New Roman"/>
                <w:sz w:val="20"/>
                <w:szCs w:val="20"/>
              </w:rPr>
              <w:t>Bagian Pengelolaan Barang Milik Daerah</w:t>
            </w:r>
          </w:p>
        </w:tc>
        <w:tc>
          <w:tcPr>
            <w:tcW w:w="979" w:type="dxa"/>
            <w:shd w:val="clear" w:color="auto" w:fill="FEC6C6"/>
            <w:vAlign w:val="center"/>
          </w:tcPr>
          <w:p>
            <w:pPr>
              <w:spacing w:after="0" w:line="240" w:lineRule="auto"/>
              <w:jc w:val="center"/>
              <w:rPr>
                <w:rFonts w:ascii="Cambria" w:hAnsi="Cambria" w:eastAsia="Times New Roman"/>
                <w:sz w:val="20"/>
                <w:szCs w:val="20"/>
              </w:rPr>
            </w:pPr>
          </w:p>
        </w:tc>
        <w:tc>
          <w:tcPr>
            <w:tcW w:w="980" w:type="dxa"/>
            <w:shd w:val="clear" w:color="auto" w:fill="FEC6C6"/>
            <w:vAlign w:val="center"/>
          </w:tcPr>
          <w:p>
            <w:pPr>
              <w:spacing w:after="0" w:line="240" w:lineRule="auto"/>
              <w:jc w:val="center"/>
              <w:rPr>
                <w:rFonts w:ascii="Cambria" w:hAnsi="Cambria" w:eastAsia="Times New Roman"/>
                <w:sz w:val="20"/>
                <w:szCs w:val="20"/>
              </w:rPr>
            </w:pPr>
            <w:r>
              <w:rPr>
                <w:rFonts w:ascii="Cambria" w:hAnsi="Cambria" w:eastAsia="Times New Roman"/>
                <w:sz w:val="20"/>
                <w:szCs w:val="20"/>
              </w:rPr>
              <w:t>1</w:t>
            </w:r>
          </w:p>
        </w:tc>
        <w:tc>
          <w:tcPr>
            <w:tcW w:w="979" w:type="dxa"/>
            <w:shd w:val="clear" w:color="auto" w:fill="FEC6C6"/>
            <w:vAlign w:val="center"/>
          </w:tcPr>
          <w:p>
            <w:pPr>
              <w:spacing w:after="0" w:line="240" w:lineRule="auto"/>
              <w:jc w:val="center"/>
              <w:rPr>
                <w:rFonts w:hint="default" w:ascii="Cambria" w:hAnsi="Cambria" w:eastAsia="Times New Roman"/>
                <w:sz w:val="20"/>
                <w:szCs w:val="20"/>
              </w:rPr>
            </w:pPr>
            <w:r>
              <w:rPr>
                <w:rFonts w:hint="default" w:ascii="Cambria" w:hAnsi="Cambria" w:eastAsia="Times New Roman"/>
                <w:sz w:val="20"/>
                <w:szCs w:val="20"/>
              </w:rPr>
              <w:t>3</w:t>
            </w:r>
          </w:p>
        </w:tc>
        <w:tc>
          <w:tcPr>
            <w:tcW w:w="1229" w:type="dxa"/>
            <w:shd w:val="clear" w:color="auto" w:fill="FEC6C6"/>
          </w:tcPr>
          <w:p>
            <w:pPr>
              <w:spacing w:after="0" w:line="240" w:lineRule="auto"/>
              <w:jc w:val="center"/>
              <w:rPr>
                <w:rFonts w:ascii="Cambria" w:hAnsi="Cambria" w:eastAsia="Times New Roman"/>
                <w:color w:val="000000" w:themeColor="text1"/>
                <w:sz w:val="20"/>
                <w:szCs w:val="20"/>
                <w14:textFill>
                  <w14:solidFill>
                    <w14:schemeClr w14:val="tx1"/>
                  </w14:solidFill>
                </w14:textFill>
              </w:rPr>
            </w:pPr>
          </w:p>
        </w:tc>
        <w:tc>
          <w:tcPr>
            <w:tcW w:w="798" w:type="dxa"/>
            <w:shd w:val="clear" w:color="auto" w:fill="FEC6C6"/>
            <w:vAlign w:val="center"/>
          </w:tcPr>
          <w:p>
            <w:pPr>
              <w:spacing w:after="0" w:line="240" w:lineRule="auto"/>
              <w:jc w:val="center"/>
              <w:rPr>
                <w:rFonts w:hint="default" w:ascii="Cambria" w:hAnsi="Cambria" w:eastAsia="Times New Roman"/>
                <w:color w:val="000000" w:themeColor="text1"/>
                <w:sz w:val="20"/>
                <w:szCs w:val="20"/>
                <w14:textFill>
                  <w14:solidFill>
                    <w14:schemeClr w14:val="tx1"/>
                  </w14:solidFill>
                </w14:textFill>
              </w:rPr>
            </w:pPr>
            <w:r>
              <w:rPr>
                <w:rFonts w:hint="default" w:ascii="Cambria" w:hAnsi="Cambria" w:eastAsia="Times New Roman"/>
                <w:color w:val="000000" w:themeColor="text1"/>
                <w:sz w:val="20"/>
                <w:szCs w:val="20"/>
                <w14:textFill>
                  <w14:solidFill>
                    <w14:schemeClr w14:val="tx1"/>
                  </w14:solidFill>
                </w14:textFill>
              </w:rPr>
              <w:t>11</w:t>
            </w:r>
          </w:p>
        </w:tc>
        <w:tc>
          <w:tcPr>
            <w:tcW w:w="870" w:type="dxa"/>
            <w:shd w:val="clear" w:color="auto" w:fill="FEC6C6"/>
            <w:vAlign w:val="center"/>
          </w:tcPr>
          <w:p>
            <w:pPr>
              <w:spacing w:after="0" w:line="240" w:lineRule="auto"/>
              <w:jc w:val="center"/>
              <w:rPr>
                <w:rFonts w:hint="default" w:ascii="Cambria" w:hAnsi="Cambria" w:eastAsia="Times New Roman"/>
                <w:color w:val="000000" w:themeColor="text1"/>
                <w:sz w:val="20"/>
                <w:szCs w:val="20"/>
                <w14:textFill>
                  <w14:solidFill>
                    <w14:schemeClr w14:val="tx1"/>
                  </w14:solidFill>
                </w14:textFill>
              </w:rPr>
            </w:pPr>
            <w:r>
              <w:rPr>
                <w:rFonts w:hint="default" w:ascii="Cambria" w:hAnsi="Cambria" w:eastAsia="Times New Roman"/>
                <w:color w:val="000000" w:themeColor="text1"/>
                <w:sz w:val="20"/>
                <w:szCs w:val="20"/>
                <w14:textFill>
                  <w14:solidFill>
                    <w14:schemeClr w14:val="tx1"/>
                  </w14:solidFill>
                </w14:textFill>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6" w:hRule="atLeast"/>
        </w:trPr>
        <w:tc>
          <w:tcPr>
            <w:tcW w:w="495" w:type="dxa"/>
            <w:shd w:val="clear" w:color="auto" w:fill="FEC6C6"/>
            <w:vAlign w:val="center"/>
          </w:tcPr>
          <w:p>
            <w:pPr>
              <w:spacing w:after="0" w:line="240" w:lineRule="auto"/>
              <w:jc w:val="center"/>
              <w:rPr>
                <w:rFonts w:ascii="Cambria" w:hAnsi="Cambria" w:eastAsia="Times New Roman"/>
                <w:sz w:val="20"/>
                <w:szCs w:val="20"/>
                <w:lang w:val="en-US"/>
              </w:rPr>
            </w:pPr>
            <w:r>
              <w:rPr>
                <w:rFonts w:ascii="Cambria" w:hAnsi="Cambria" w:eastAsia="Times New Roman"/>
                <w:sz w:val="20"/>
                <w:szCs w:val="20"/>
              </w:rPr>
              <w:t>5</w:t>
            </w:r>
            <w:r>
              <w:rPr>
                <w:rFonts w:ascii="Cambria" w:hAnsi="Cambria" w:eastAsia="Times New Roman"/>
                <w:sz w:val="20"/>
                <w:szCs w:val="20"/>
                <w:lang w:val="en-US"/>
              </w:rPr>
              <w:t>.</w:t>
            </w:r>
          </w:p>
        </w:tc>
        <w:tc>
          <w:tcPr>
            <w:tcW w:w="2624" w:type="dxa"/>
            <w:shd w:val="clear" w:color="auto" w:fill="FEC6C6"/>
            <w:vAlign w:val="center"/>
          </w:tcPr>
          <w:p>
            <w:pPr>
              <w:spacing w:before="120" w:after="120" w:line="240" w:lineRule="auto"/>
              <w:rPr>
                <w:rFonts w:ascii="Cambria" w:hAnsi="Cambria" w:eastAsia="Times New Roman"/>
                <w:sz w:val="20"/>
                <w:szCs w:val="20"/>
              </w:rPr>
            </w:pPr>
            <w:r>
              <w:rPr>
                <w:rFonts w:ascii="Cambria" w:hAnsi="Cambria" w:eastAsia="Times New Roman"/>
                <w:sz w:val="20"/>
                <w:szCs w:val="20"/>
                <w:lang w:val="en-US"/>
              </w:rPr>
              <w:t xml:space="preserve">Pejabat Fungsional Pengelola Pengadaan Barang/Jasa </w:t>
            </w:r>
          </w:p>
        </w:tc>
        <w:tc>
          <w:tcPr>
            <w:tcW w:w="979" w:type="dxa"/>
            <w:shd w:val="clear" w:color="auto" w:fill="FEC6C6"/>
            <w:vAlign w:val="center"/>
          </w:tcPr>
          <w:p>
            <w:pPr>
              <w:spacing w:after="0" w:line="240" w:lineRule="auto"/>
              <w:jc w:val="center"/>
              <w:rPr>
                <w:rFonts w:ascii="Cambria" w:hAnsi="Cambria" w:eastAsia="Times New Roman"/>
                <w:sz w:val="20"/>
                <w:szCs w:val="20"/>
              </w:rPr>
            </w:pPr>
          </w:p>
        </w:tc>
        <w:tc>
          <w:tcPr>
            <w:tcW w:w="980" w:type="dxa"/>
            <w:shd w:val="clear" w:color="auto" w:fill="FEC6C6"/>
            <w:vAlign w:val="center"/>
          </w:tcPr>
          <w:p>
            <w:pPr>
              <w:spacing w:after="0" w:line="240" w:lineRule="auto"/>
              <w:jc w:val="center"/>
              <w:rPr>
                <w:rFonts w:ascii="Cambria" w:hAnsi="Cambria" w:eastAsia="Times New Roman"/>
                <w:sz w:val="20"/>
                <w:szCs w:val="20"/>
              </w:rPr>
            </w:pPr>
          </w:p>
        </w:tc>
        <w:tc>
          <w:tcPr>
            <w:tcW w:w="979" w:type="dxa"/>
            <w:shd w:val="clear" w:color="auto" w:fill="FEC6C6"/>
            <w:vAlign w:val="center"/>
          </w:tcPr>
          <w:p>
            <w:pPr>
              <w:spacing w:after="0" w:line="240" w:lineRule="auto"/>
              <w:jc w:val="center"/>
              <w:rPr>
                <w:rFonts w:ascii="Cambria" w:hAnsi="Cambria" w:eastAsia="Times New Roman"/>
                <w:sz w:val="20"/>
                <w:szCs w:val="20"/>
              </w:rPr>
            </w:pPr>
          </w:p>
        </w:tc>
        <w:tc>
          <w:tcPr>
            <w:tcW w:w="1229" w:type="dxa"/>
            <w:shd w:val="clear" w:color="auto" w:fill="FEC6C6"/>
            <w:vAlign w:val="center"/>
          </w:tcPr>
          <w:p>
            <w:pPr>
              <w:spacing w:after="0" w:line="240" w:lineRule="auto"/>
              <w:jc w:val="center"/>
              <w:rPr>
                <w:rFonts w:hint="default" w:ascii="Cambria" w:hAnsi="Cambria" w:eastAsia="Times New Roman"/>
                <w:sz w:val="20"/>
                <w:szCs w:val="20"/>
              </w:rPr>
            </w:pPr>
            <w:r>
              <w:rPr>
                <w:rFonts w:hint="default" w:ascii="Cambria" w:hAnsi="Cambria" w:eastAsia="Times New Roman"/>
                <w:sz w:val="20"/>
                <w:szCs w:val="20"/>
              </w:rPr>
              <w:t>6</w:t>
            </w:r>
          </w:p>
        </w:tc>
        <w:tc>
          <w:tcPr>
            <w:tcW w:w="798" w:type="dxa"/>
            <w:shd w:val="clear" w:color="auto" w:fill="FEC6C6"/>
            <w:vAlign w:val="center"/>
          </w:tcPr>
          <w:p>
            <w:pPr>
              <w:spacing w:after="0" w:line="240" w:lineRule="auto"/>
              <w:jc w:val="center"/>
              <w:rPr>
                <w:rFonts w:ascii="Cambria" w:hAnsi="Cambria" w:eastAsia="Times New Roman"/>
                <w:color w:val="000000" w:themeColor="text1"/>
                <w:sz w:val="20"/>
                <w:szCs w:val="20"/>
                <w:lang w:val="en-US"/>
                <w14:textFill>
                  <w14:solidFill>
                    <w14:schemeClr w14:val="tx1"/>
                  </w14:solidFill>
                </w14:textFill>
              </w:rPr>
            </w:pPr>
          </w:p>
        </w:tc>
        <w:tc>
          <w:tcPr>
            <w:tcW w:w="870" w:type="dxa"/>
            <w:shd w:val="clear" w:color="auto" w:fill="FEC6C6"/>
            <w:vAlign w:val="center"/>
          </w:tcPr>
          <w:p>
            <w:pPr>
              <w:spacing w:after="0" w:line="240" w:lineRule="auto"/>
              <w:jc w:val="center"/>
              <w:rPr>
                <w:rFonts w:hint="default" w:ascii="Cambria" w:hAnsi="Cambria" w:eastAsia="Times New Roman"/>
                <w:color w:val="000000" w:themeColor="text1"/>
                <w:sz w:val="20"/>
                <w:szCs w:val="20"/>
                <w14:textFill>
                  <w14:solidFill>
                    <w14:schemeClr w14:val="tx1"/>
                  </w14:solidFill>
                </w14:textFill>
              </w:rPr>
            </w:pPr>
            <w:r>
              <w:rPr>
                <w:rFonts w:hint="default" w:ascii="Cambria" w:hAnsi="Cambria" w:eastAsia="Times New Roman"/>
                <w:color w:val="000000" w:themeColor="text1"/>
                <w:sz w:val="20"/>
                <w:szCs w:val="20"/>
                <w14:textFill>
                  <w14:solidFill>
                    <w14:schemeClr w14:val="tx1"/>
                  </w14:solidFill>
                </w14:textFill>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6" w:hRule="atLeast"/>
        </w:trPr>
        <w:tc>
          <w:tcPr>
            <w:tcW w:w="495" w:type="dxa"/>
            <w:shd w:val="clear" w:color="auto" w:fill="FEC6C6"/>
            <w:vAlign w:val="center"/>
          </w:tcPr>
          <w:p>
            <w:pPr>
              <w:spacing w:after="0" w:line="240" w:lineRule="auto"/>
              <w:jc w:val="center"/>
              <w:rPr>
                <w:rFonts w:hint="default" w:ascii="Cambria" w:hAnsi="Cambria" w:eastAsia="Times New Roman"/>
                <w:sz w:val="20"/>
                <w:szCs w:val="20"/>
              </w:rPr>
            </w:pPr>
            <w:r>
              <w:rPr>
                <w:rFonts w:hint="default" w:ascii="Cambria" w:hAnsi="Cambria" w:eastAsia="Times New Roman"/>
                <w:sz w:val="20"/>
                <w:szCs w:val="20"/>
              </w:rPr>
              <w:t>6.</w:t>
            </w:r>
          </w:p>
        </w:tc>
        <w:tc>
          <w:tcPr>
            <w:tcW w:w="2624" w:type="dxa"/>
            <w:shd w:val="clear" w:color="auto" w:fill="FEC6C6"/>
            <w:vAlign w:val="center"/>
          </w:tcPr>
          <w:p>
            <w:pPr>
              <w:spacing w:before="120" w:after="120" w:line="240" w:lineRule="auto"/>
              <w:rPr>
                <w:rFonts w:hint="default" w:ascii="Cambria" w:hAnsi="Cambria" w:eastAsia="Times New Roman"/>
                <w:sz w:val="20"/>
                <w:szCs w:val="20"/>
              </w:rPr>
            </w:pPr>
            <w:r>
              <w:rPr>
                <w:rFonts w:hint="default" w:ascii="Cambria" w:hAnsi="Cambria" w:eastAsia="Times New Roman"/>
                <w:sz w:val="20"/>
                <w:szCs w:val="20"/>
              </w:rPr>
              <w:t>Pegawai Tidak Tetap</w:t>
            </w:r>
          </w:p>
        </w:tc>
        <w:tc>
          <w:tcPr>
            <w:tcW w:w="979" w:type="dxa"/>
            <w:shd w:val="clear" w:color="auto" w:fill="FEC6C6"/>
            <w:vAlign w:val="center"/>
          </w:tcPr>
          <w:p>
            <w:pPr>
              <w:spacing w:after="0" w:line="240" w:lineRule="auto"/>
              <w:jc w:val="center"/>
              <w:rPr>
                <w:rFonts w:ascii="Cambria" w:hAnsi="Cambria" w:eastAsia="Times New Roman"/>
                <w:sz w:val="20"/>
                <w:szCs w:val="20"/>
              </w:rPr>
            </w:pPr>
          </w:p>
        </w:tc>
        <w:tc>
          <w:tcPr>
            <w:tcW w:w="980" w:type="dxa"/>
            <w:shd w:val="clear" w:color="auto" w:fill="FEC6C6"/>
            <w:vAlign w:val="center"/>
          </w:tcPr>
          <w:p>
            <w:pPr>
              <w:spacing w:after="0" w:line="240" w:lineRule="auto"/>
              <w:jc w:val="center"/>
              <w:rPr>
                <w:rFonts w:ascii="Cambria" w:hAnsi="Cambria" w:eastAsia="Times New Roman"/>
                <w:sz w:val="20"/>
                <w:szCs w:val="20"/>
              </w:rPr>
            </w:pPr>
          </w:p>
        </w:tc>
        <w:tc>
          <w:tcPr>
            <w:tcW w:w="979" w:type="dxa"/>
            <w:shd w:val="clear" w:color="auto" w:fill="FEC6C6"/>
            <w:vAlign w:val="center"/>
          </w:tcPr>
          <w:p>
            <w:pPr>
              <w:spacing w:after="0" w:line="240" w:lineRule="auto"/>
              <w:jc w:val="center"/>
              <w:rPr>
                <w:rFonts w:ascii="Cambria" w:hAnsi="Cambria" w:eastAsia="Times New Roman"/>
                <w:sz w:val="20"/>
                <w:szCs w:val="20"/>
              </w:rPr>
            </w:pPr>
          </w:p>
        </w:tc>
        <w:tc>
          <w:tcPr>
            <w:tcW w:w="1229" w:type="dxa"/>
            <w:shd w:val="clear" w:color="auto" w:fill="FEC6C6"/>
            <w:vAlign w:val="center"/>
          </w:tcPr>
          <w:p>
            <w:pPr>
              <w:spacing w:after="0" w:line="240" w:lineRule="auto"/>
              <w:jc w:val="center"/>
              <w:rPr>
                <w:rFonts w:hint="default" w:ascii="Cambria" w:hAnsi="Cambria" w:eastAsia="Times New Roman"/>
                <w:sz w:val="20"/>
                <w:szCs w:val="20"/>
              </w:rPr>
            </w:pPr>
          </w:p>
        </w:tc>
        <w:tc>
          <w:tcPr>
            <w:tcW w:w="798" w:type="dxa"/>
            <w:shd w:val="clear" w:color="auto" w:fill="FEC6C6"/>
            <w:vAlign w:val="center"/>
          </w:tcPr>
          <w:p>
            <w:pPr>
              <w:spacing w:after="0" w:line="240" w:lineRule="auto"/>
              <w:jc w:val="center"/>
              <w:rPr>
                <w:rFonts w:hint="default" w:ascii="Cambria" w:hAnsi="Cambria" w:eastAsia="Times New Roman"/>
                <w:color w:val="000000" w:themeColor="text1"/>
                <w:sz w:val="20"/>
                <w:szCs w:val="20"/>
                <w14:textFill>
                  <w14:solidFill>
                    <w14:schemeClr w14:val="tx1"/>
                  </w14:solidFill>
                </w14:textFill>
              </w:rPr>
            </w:pPr>
            <w:r>
              <w:rPr>
                <w:rFonts w:hint="default" w:ascii="Cambria" w:hAnsi="Cambria" w:eastAsia="Times New Roman"/>
                <w:color w:val="000000" w:themeColor="text1"/>
                <w:sz w:val="20"/>
                <w:szCs w:val="20"/>
                <w14:textFill>
                  <w14:solidFill>
                    <w14:schemeClr w14:val="tx1"/>
                  </w14:solidFill>
                </w14:textFill>
              </w:rPr>
              <w:t>1</w:t>
            </w:r>
          </w:p>
        </w:tc>
        <w:tc>
          <w:tcPr>
            <w:tcW w:w="870" w:type="dxa"/>
            <w:shd w:val="clear" w:color="auto" w:fill="FEC6C6"/>
            <w:vAlign w:val="center"/>
          </w:tcPr>
          <w:p>
            <w:pPr>
              <w:spacing w:after="0" w:line="240" w:lineRule="auto"/>
              <w:jc w:val="center"/>
              <w:rPr>
                <w:rFonts w:hint="default" w:ascii="Cambria" w:hAnsi="Cambria" w:eastAsia="Times New Roman"/>
                <w:color w:val="000000" w:themeColor="text1"/>
                <w:sz w:val="20"/>
                <w:szCs w:val="20"/>
                <w14:textFill>
                  <w14:solidFill>
                    <w14:schemeClr w14:val="tx1"/>
                  </w14:solidFill>
                </w14:textFill>
              </w:rPr>
            </w:pPr>
            <w:r>
              <w:rPr>
                <w:rFonts w:hint="default" w:ascii="Cambria" w:hAnsi="Cambria" w:eastAsia="Times New Roman"/>
                <w:color w:val="000000" w:themeColor="text1"/>
                <w:sz w:val="20"/>
                <w:szCs w:val="20"/>
                <w14:textFill>
                  <w14:solidFill>
                    <w14:schemeClr w14:val="tx1"/>
                  </w14:solidFill>
                </w14:textFill>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6" w:hRule="atLeast"/>
        </w:trPr>
        <w:tc>
          <w:tcPr>
            <w:tcW w:w="495" w:type="dxa"/>
            <w:shd w:val="clear" w:color="auto" w:fill="FEC6C6"/>
            <w:vAlign w:val="center"/>
          </w:tcPr>
          <w:p>
            <w:pPr>
              <w:spacing w:after="0" w:line="240" w:lineRule="auto"/>
              <w:jc w:val="center"/>
              <w:rPr>
                <w:rFonts w:hint="default" w:ascii="Cambria" w:hAnsi="Cambria" w:eastAsia="Times New Roman"/>
                <w:sz w:val="20"/>
                <w:szCs w:val="20"/>
              </w:rPr>
            </w:pPr>
            <w:r>
              <w:rPr>
                <w:rFonts w:hint="default" w:ascii="Cambria" w:hAnsi="Cambria" w:eastAsia="Times New Roman"/>
                <w:sz w:val="20"/>
                <w:szCs w:val="20"/>
              </w:rPr>
              <w:t>7.</w:t>
            </w:r>
          </w:p>
        </w:tc>
        <w:tc>
          <w:tcPr>
            <w:tcW w:w="2624" w:type="dxa"/>
            <w:shd w:val="clear" w:color="auto" w:fill="FEC6C6"/>
            <w:vAlign w:val="center"/>
          </w:tcPr>
          <w:p>
            <w:pPr>
              <w:spacing w:before="120" w:after="120" w:line="240" w:lineRule="auto"/>
              <w:rPr>
                <w:rFonts w:hint="default" w:ascii="Cambria" w:hAnsi="Cambria" w:eastAsia="Times New Roman"/>
                <w:sz w:val="20"/>
                <w:szCs w:val="20"/>
              </w:rPr>
            </w:pPr>
            <w:r>
              <w:rPr>
                <w:rFonts w:hint="default" w:ascii="Cambria" w:hAnsi="Cambria" w:eastAsia="Times New Roman"/>
                <w:sz w:val="20"/>
                <w:szCs w:val="20"/>
              </w:rPr>
              <w:t>Pegawai Kontrak</w:t>
            </w:r>
          </w:p>
        </w:tc>
        <w:tc>
          <w:tcPr>
            <w:tcW w:w="979" w:type="dxa"/>
            <w:shd w:val="clear" w:color="auto" w:fill="FEC6C6"/>
            <w:vAlign w:val="center"/>
          </w:tcPr>
          <w:p>
            <w:pPr>
              <w:spacing w:after="0" w:line="240" w:lineRule="auto"/>
              <w:jc w:val="center"/>
              <w:rPr>
                <w:rFonts w:ascii="Cambria" w:hAnsi="Cambria" w:eastAsia="Times New Roman"/>
                <w:sz w:val="20"/>
                <w:szCs w:val="20"/>
              </w:rPr>
            </w:pPr>
          </w:p>
        </w:tc>
        <w:tc>
          <w:tcPr>
            <w:tcW w:w="980" w:type="dxa"/>
            <w:shd w:val="clear" w:color="auto" w:fill="FEC6C6"/>
            <w:vAlign w:val="center"/>
          </w:tcPr>
          <w:p>
            <w:pPr>
              <w:spacing w:after="0" w:line="240" w:lineRule="auto"/>
              <w:jc w:val="center"/>
              <w:rPr>
                <w:rFonts w:ascii="Cambria" w:hAnsi="Cambria" w:eastAsia="Times New Roman"/>
                <w:sz w:val="20"/>
                <w:szCs w:val="20"/>
              </w:rPr>
            </w:pPr>
          </w:p>
        </w:tc>
        <w:tc>
          <w:tcPr>
            <w:tcW w:w="979" w:type="dxa"/>
            <w:shd w:val="clear" w:color="auto" w:fill="FEC6C6"/>
            <w:vAlign w:val="center"/>
          </w:tcPr>
          <w:p>
            <w:pPr>
              <w:spacing w:after="0" w:line="240" w:lineRule="auto"/>
              <w:jc w:val="center"/>
              <w:rPr>
                <w:rFonts w:ascii="Cambria" w:hAnsi="Cambria" w:eastAsia="Times New Roman"/>
                <w:sz w:val="20"/>
                <w:szCs w:val="20"/>
              </w:rPr>
            </w:pPr>
          </w:p>
        </w:tc>
        <w:tc>
          <w:tcPr>
            <w:tcW w:w="1229" w:type="dxa"/>
            <w:shd w:val="clear" w:color="auto" w:fill="FEC6C6"/>
            <w:vAlign w:val="center"/>
          </w:tcPr>
          <w:p>
            <w:pPr>
              <w:spacing w:after="0" w:line="240" w:lineRule="auto"/>
              <w:jc w:val="center"/>
              <w:rPr>
                <w:rFonts w:hint="default" w:ascii="Cambria" w:hAnsi="Cambria" w:eastAsia="Times New Roman"/>
                <w:sz w:val="20"/>
                <w:szCs w:val="20"/>
              </w:rPr>
            </w:pPr>
          </w:p>
        </w:tc>
        <w:tc>
          <w:tcPr>
            <w:tcW w:w="798" w:type="dxa"/>
            <w:shd w:val="clear" w:color="auto" w:fill="FEC6C6"/>
            <w:vAlign w:val="center"/>
          </w:tcPr>
          <w:p>
            <w:pPr>
              <w:spacing w:after="0" w:line="240" w:lineRule="auto"/>
              <w:jc w:val="center"/>
              <w:rPr>
                <w:rFonts w:hint="default" w:ascii="Cambria" w:hAnsi="Cambria" w:eastAsia="Times New Roman"/>
                <w:color w:val="000000" w:themeColor="text1"/>
                <w:sz w:val="20"/>
                <w:szCs w:val="20"/>
                <w14:textFill>
                  <w14:solidFill>
                    <w14:schemeClr w14:val="tx1"/>
                  </w14:solidFill>
                </w14:textFill>
              </w:rPr>
            </w:pPr>
            <w:r>
              <w:rPr>
                <w:rFonts w:hint="default" w:ascii="Cambria" w:hAnsi="Cambria" w:eastAsia="Times New Roman"/>
                <w:color w:val="000000" w:themeColor="text1"/>
                <w:sz w:val="20"/>
                <w:szCs w:val="20"/>
                <w14:textFill>
                  <w14:solidFill>
                    <w14:schemeClr w14:val="tx1"/>
                  </w14:solidFill>
                </w14:textFill>
              </w:rPr>
              <w:t>2</w:t>
            </w:r>
          </w:p>
        </w:tc>
        <w:tc>
          <w:tcPr>
            <w:tcW w:w="870" w:type="dxa"/>
            <w:shd w:val="clear" w:color="auto" w:fill="FEC6C6"/>
            <w:vAlign w:val="center"/>
          </w:tcPr>
          <w:p>
            <w:pPr>
              <w:spacing w:after="0" w:line="240" w:lineRule="auto"/>
              <w:jc w:val="center"/>
              <w:rPr>
                <w:rFonts w:hint="default" w:ascii="Cambria" w:hAnsi="Cambria" w:eastAsia="Times New Roman"/>
                <w:color w:val="000000" w:themeColor="text1"/>
                <w:sz w:val="20"/>
                <w:szCs w:val="20"/>
                <w14:textFill>
                  <w14:solidFill>
                    <w14:schemeClr w14:val="tx1"/>
                  </w14:solidFill>
                </w14:textFill>
              </w:rPr>
            </w:pPr>
            <w:r>
              <w:rPr>
                <w:rFonts w:hint="default" w:ascii="Cambria" w:hAnsi="Cambria" w:eastAsia="Times New Roman"/>
                <w:color w:val="000000" w:themeColor="text1"/>
                <w:sz w:val="20"/>
                <w:szCs w:val="20"/>
                <w14:textFill>
                  <w14:solidFill>
                    <w14:schemeClr w14:val="tx1"/>
                  </w14:solidFill>
                </w14:textFill>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6" w:hRule="atLeast"/>
        </w:trPr>
        <w:tc>
          <w:tcPr>
            <w:tcW w:w="495" w:type="dxa"/>
            <w:shd w:val="clear" w:color="auto" w:fill="FEC6C6"/>
            <w:vAlign w:val="center"/>
          </w:tcPr>
          <w:p>
            <w:pPr>
              <w:spacing w:after="0" w:line="240" w:lineRule="auto"/>
              <w:jc w:val="center"/>
              <w:rPr>
                <w:rFonts w:hint="default" w:ascii="Cambria" w:hAnsi="Cambria" w:eastAsia="Times New Roman"/>
                <w:sz w:val="20"/>
                <w:szCs w:val="20"/>
              </w:rPr>
            </w:pPr>
            <w:r>
              <w:rPr>
                <w:rFonts w:hint="default" w:ascii="Cambria" w:hAnsi="Cambria" w:eastAsia="Times New Roman"/>
                <w:sz w:val="20"/>
                <w:szCs w:val="20"/>
              </w:rPr>
              <w:t>7.</w:t>
            </w:r>
          </w:p>
        </w:tc>
        <w:tc>
          <w:tcPr>
            <w:tcW w:w="2624" w:type="dxa"/>
            <w:shd w:val="clear" w:color="auto" w:fill="FEC6C6"/>
            <w:vAlign w:val="center"/>
          </w:tcPr>
          <w:p>
            <w:pPr>
              <w:spacing w:before="120" w:after="120" w:line="240" w:lineRule="auto"/>
              <w:rPr>
                <w:rFonts w:hint="default" w:ascii="Cambria" w:hAnsi="Cambria" w:eastAsia="Times New Roman"/>
                <w:sz w:val="20"/>
                <w:szCs w:val="20"/>
              </w:rPr>
            </w:pPr>
            <w:r>
              <w:rPr>
                <w:rFonts w:hint="default" w:ascii="Cambria" w:hAnsi="Cambria" w:eastAsia="Times New Roman"/>
                <w:sz w:val="20"/>
                <w:szCs w:val="20"/>
              </w:rPr>
              <w:t>Programmer IT</w:t>
            </w:r>
          </w:p>
        </w:tc>
        <w:tc>
          <w:tcPr>
            <w:tcW w:w="979" w:type="dxa"/>
            <w:shd w:val="clear" w:color="auto" w:fill="FEC6C6"/>
            <w:vAlign w:val="center"/>
          </w:tcPr>
          <w:p>
            <w:pPr>
              <w:spacing w:after="0" w:line="240" w:lineRule="auto"/>
              <w:jc w:val="center"/>
              <w:rPr>
                <w:rFonts w:ascii="Cambria" w:hAnsi="Cambria" w:eastAsia="Times New Roman"/>
                <w:sz w:val="20"/>
                <w:szCs w:val="20"/>
              </w:rPr>
            </w:pPr>
          </w:p>
        </w:tc>
        <w:tc>
          <w:tcPr>
            <w:tcW w:w="980" w:type="dxa"/>
            <w:shd w:val="clear" w:color="auto" w:fill="FEC6C6"/>
            <w:vAlign w:val="center"/>
          </w:tcPr>
          <w:p>
            <w:pPr>
              <w:spacing w:after="0" w:line="240" w:lineRule="auto"/>
              <w:jc w:val="center"/>
              <w:rPr>
                <w:rFonts w:ascii="Cambria" w:hAnsi="Cambria" w:eastAsia="Times New Roman"/>
                <w:sz w:val="20"/>
                <w:szCs w:val="20"/>
              </w:rPr>
            </w:pPr>
          </w:p>
        </w:tc>
        <w:tc>
          <w:tcPr>
            <w:tcW w:w="979" w:type="dxa"/>
            <w:shd w:val="clear" w:color="auto" w:fill="FEC6C6"/>
            <w:vAlign w:val="center"/>
          </w:tcPr>
          <w:p>
            <w:pPr>
              <w:spacing w:after="0" w:line="240" w:lineRule="auto"/>
              <w:jc w:val="center"/>
              <w:rPr>
                <w:rFonts w:ascii="Cambria" w:hAnsi="Cambria" w:eastAsia="Times New Roman"/>
                <w:sz w:val="20"/>
                <w:szCs w:val="20"/>
              </w:rPr>
            </w:pPr>
          </w:p>
        </w:tc>
        <w:tc>
          <w:tcPr>
            <w:tcW w:w="1229" w:type="dxa"/>
            <w:shd w:val="clear" w:color="auto" w:fill="FEC6C6"/>
            <w:vAlign w:val="center"/>
          </w:tcPr>
          <w:p>
            <w:pPr>
              <w:spacing w:after="0" w:line="240" w:lineRule="auto"/>
              <w:jc w:val="center"/>
              <w:rPr>
                <w:rFonts w:hint="default" w:ascii="Cambria" w:hAnsi="Cambria" w:eastAsia="Times New Roman"/>
                <w:sz w:val="20"/>
                <w:szCs w:val="20"/>
              </w:rPr>
            </w:pPr>
          </w:p>
        </w:tc>
        <w:tc>
          <w:tcPr>
            <w:tcW w:w="798" w:type="dxa"/>
            <w:shd w:val="clear" w:color="auto" w:fill="FEC6C6"/>
            <w:vAlign w:val="center"/>
          </w:tcPr>
          <w:p>
            <w:pPr>
              <w:spacing w:after="0" w:line="240" w:lineRule="auto"/>
              <w:jc w:val="center"/>
              <w:rPr>
                <w:rFonts w:hint="default" w:ascii="Cambria" w:hAnsi="Cambria" w:eastAsia="Times New Roman"/>
                <w:color w:val="000000" w:themeColor="text1"/>
                <w:sz w:val="20"/>
                <w:szCs w:val="20"/>
                <w14:textFill>
                  <w14:solidFill>
                    <w14:schemeClr w14:val="tx1"/>
                  </w14:solidFill>
                </w14:textFill>
              </w:rPr>
            </w:pPr>
            <w:r>
              <w:rPr>
                <w:rFonts w:hint="default" w:ascii="Cambria" w:hAnsi="Cambria" w:eastAsia="Times New Roman"/>
                <w:color w:val="000000" w:themeColor="text1"/>
                <w:sz w:val="20"/>
                <w:szCs w:val="20"/>
                <w14:textFill>
                  <w14:solidFill>
                    <w14:schemeClr w14:val="tx1"/>
                  </w14:solidFill>
                </w14:textFill>
              </w:rPr>
              <w:t>2</w:t>
            </w:r>
          </w:p>
        </w:tc>
        <w:tc>
          <w:tcPr>
            <w:tcW w:w="870" w:type="dxa"/>
            <w:shd w:val="clear" w:color="auto" w:fill="FEC6C6"/>
            <w:vAlign w:val="center"/>
          </w:tcPr>
          <w:p>
            <w:pPr>
              <w:spacing w:after="0" w:line="240" w:lineRule="auto"/>
              <w:jc w:val="center"/>
              <w:rPr>
                <w:rFonts w:hint="default" w:ascii="Cambria" w:hAnsi="Cambria" w:eastAsia="Times New Roman"/>
                <w:color w:val="000000" w:themeColor="text1"/>
                <w:sz w:val="20"/>
                <w:szCs w:val="20"/>
                <w14:textFill>
                  <w14:solidFill>
                    <w14:schemeClr w14:val="tx1"/>
                  </w14:solidFill>
                </w14:textFill>
              </w:rPr>
            </w:pPr>
            <w:r>
              <w:rPr>
                <w:rFonts w:hint="default" w:ascii="Cambria" w:hAnsi="Cambria" w:eastAsia="Times New Roman"/>
                <w:color w:val="000000" w:themeColor="text1"/>
                <w:sz w:val="20"/>
                <w:szCs w:val="20"/>
                <w14:textFill>
                  <w14:solidFill>
                    <w14:schemeClr w14:val="tx1"/>
                  </w14:solidFill>
                </w14:textFill>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6" w:hRule="atLeast"/>
        </w:trPr>
        <w:tc>
          <w:tcPr>
            <w:tcW w:w="495" w:type="dxa"/>
            <w:shd w:val="clear" w:color="auto" w:fill="FEC6C6"/>
            <w:vAlign w:val="center"/>
          </w:tcPr>
          <w:p>
            <w:pPr>
              <w:spacing w:after="0" w:line="240" w:lineRule="auto"/>
              <w:jc w:val="center"/>
              <w:rPr>
                <w:rFonts w:hint="default" w:ascii="Cambria" w:hAnsi="Cambria" w:eastAsia="Times New Roman"/>
                <w:sz w:val="20"/>
                <w:szCs w:val="20"/>
              </w:rPr>
            </w:pPr>
            <w:r>
              <w:rPr>
                <w:rFonts w:hint="default" w:ascii="Cambria" w:hAnsi="Cambria" w:eastAsia="Times New Roman"/>
                <w:sz w:val="20"/>
                <w:szCs w:val="20"/>
              </w:rPr>
              <w:t>8.</w:t>
            </w:r>
          </w:p>
        </w:tc>
        <w:tc>
          <w:tcPr>
            <w:tcW w:w="2624" w:type="dxa"/>
            <w:shd w:val="clear" w:color="auto" w:fill="FEC6C6"/>
            <w:vAlign w:val="center"/>
          </w:tcPr>
          <w:p>
            <w:pPr>
              <w:spacing w:before="120" w:after="120" w:line="240" w:lineRule="auto"/>
              <w:rPr>
                <w:rFonts w:hint="default" w:ascii="Cambria" w:hAnsi="Cambria" w:eastAsia="Times New Roman"/>
                <w:sz w:val="20"/>
                <w:szCs w:val="20"/>
              </w:rPr>
            </w:pPr>
            <w:r>
              <w:rPr>
                <w:rFonts w:hint="default" w:ascii="Cambria" w:hAnsi="Cambria" w:eastAsia="Times New Roman"/>
                <w:sz w:val="20"/>
                <w:szCs w:val="20"/>
              </w:rPr>
              <w:t>Pendamping Sistem</w:t>
            </w:r>
          </w:p>
        </w:tc>
        <w:tc>
          <w:tcPr>
            <w:tcW w:w="979" w:type="dxa"/>
            <w:shd w:val="clear" w:color="auto" w:fill="FEC6C6"/>
            <w:vAlign w:val="center"/>
          </w:tcPr>
          <w:p>
            <w:pPr>
              <w:spacing w:after="0" w:line="240" w:lineRule="auto"/>
              <w:jc w:val="center"/>
              <w:rPr>
                <w:rFonts w:ascii="Cambria" w:hAnsi="Cambria" w:eastAsia="Times New Roman"/>
                <w:sz w:val="20"/>
                <w:szCs w:val="20"/>
              </w:rPr>
            </w:pPr>
          </w:p>
        </w:tc>
        <w:tc>
          <w:tcPr>
            <w:tcW w:w="980" w:type="dxa"/>
            <w:shd w:val="clear" w:color="auto" w:fill="FEC6C6"/>
            <w:vAlign w:val="center"/>
          </w:tcPr>
          <w:p>
            <w:pPr>
              <w:spacing w:after="0" w:line="240" w:lineRule="auto"/>
              <w:jc w:val="center"/>
              <w:rPr>
                <w:rFonts w:ascii="Cambria" w:hAnsi="Cambria" w:eastAsia="Times New Roman"/>
                <w:sz w:val="20"/>
                <w:szCs w:val="20"/>
              </w:rPr>
            </w:pPr>
          </w:p>
        </w:tc>
        <w:tc>
          <w:tcPr>
            <w:tcW w:w="979" w:type="dxa"/>
            <w:shd w:val="clear" w:color="auto" w:fill="FEC6C6"/>
            <w:vAlign w:val="center"/>
          </w:tcPr>
          <w:p>
            <w:pPr>
              <w:spacing w:after="0" w:line="240" w:lineRule="auto"/>
              <w:jc w:val="center"/>
              <w:rPr>
                <w:rFonts w:ascii="Cambria" w:hAnsi="Cambria" w:eastAsia="Times New Roman"/>
                <w:sz w:val="20"/>
                <w:szCs w:val="20"/>
              </w:rPr>
            </w:pPr>
          </w:p>
        </w:tc>
        <w:tc>
          <w:tcPr>
            <w:tcW w:w="1229" w:type="dxa"/>
            <w:shd w:val="clear" w:color="auto" w:fill="FEC6C6"/>
            <w:vAlign w:val="center"/>
          </w:tcPr>
          <w:p>
            <w:pPr>
              <w:spacing w:after="0" w:line="240" w:lineRule="auto"/>
              <w:jc w:val="center"/>
              <w:rPr>
                <w:rFonts w:hint="default" w:ascii="Cambria" w:hAnsi="Cambria" w:eastAsia="Times New Roman"/>
                <w:sz w:val="20"/>
                <w:szCs w:val="20"/>
              </w:rPr>
            </w:pPr>
          </w:p>
        </w:tc>
        <w:tc>
          <w:tcPr>
            <w:tcW w:w="798" w:type="dxa"/>
            <w:shd w:val="clear" w:color="auto" w:fill="FEC6C6"/>
            <w:vAlign w:val="center"/>
          </w:tcPr>
          <w:p>
            <w:pPr>
              <w:spacing w:after="0" w:line="240" w:lineRule="auto"/>
              <w:jc w:val="center"/>
              <w:rPr>
                <w:rFonts w:hint="default" w:ascii="Cambria" w:hAnsi="Cambria" w:eastAsia="Times New Roman"/>
                <w:color w:val="000000" w:themeColor="text1"/>
                <w:sz w:val="20"/>
                <w:szCs w:val="20"/>
                <w14:textFill>
                  <w14:solidFill>
                    <w14:schemeClr w14:val="tx1"/>
                  </w14:solidFill>
                </w14:textFill>
              </w:rPr>
            </w:pPr>
            <w:r>
              <w:rPr>
                <w:rFonts w:hint="default" w:ascii="Cambria" w:hAnsi="Cambria" w:eastAsia="Times New Roman"/>
                <w:color w:val="000000" w:themeColor="text1"/>
                <w:sz w:val="20"/>
                <w:szCs w:val="20"/>
                <w14:textFill>
                  <w14:solidFill>
                    <w14:schemeClr w14:val="tx1"/>
                  </w14:solidFill>
                </w14:textFill>
              </w:rPr>
              <w:t>2</w:t>
            </w:r>
          </w:p>
        </w:tc>
        <w:tc>
          <w:tcPr>
            <w:tcW w:w="870" w:type="dxa"/>
            <w:shd w:val="clear" w:color="auto" w:fill="FEC6C6"/>
            <w:vAlign w:val="center"/>
          </w:tcPr>
          <w:p>
            <w:pPr>
              <w:spacing w:after="0" w:line="240" w:lineRule="auto"/>
              <w:jc w:val="center"/>
              <w:rPr>
                <w:rFonts w:hint="default" w:ascii="Cambria" w:hAnsi="Cambria" w:eastAsia="Times New Roman"/>
                <w:color w:val="000000" w:themeColor="text1"/>
                <w:sz w:val="20"/>
                <w:szCs w:val="20"/>
                <w14:textFill>
                  <w14:solidFill>
                    <w14:schemeClr w14:val="tx1"/>
                  </w14:solidFill>
                </w14:textFill>
              </w:rPr>
            </w:pPr>
            <w:r>
              <w:rPr>
                <w:rFonts w:hint="default" w:ascii="Cambria" w:hAnsi="Cambria" w:eastAsia="Times New Roman"/>
                <w:color w:val="000000" w:themeColor="text1"/>
                <w:sz w:val="20"/>
                <w:szCs w:val="20"/>
                <w14:textFill>
                  <w14:solidFill>
                    <w14:schemeClr w14:val="tx1"/>
                  </w14:solidFill>
                </w14:textFill>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9" w:hRule="atLeast"/>
        </w:trPr>
        <w:tc>
          <w:tcPr>
            <w:tcW w:w="495" w:type="dxa"/>
            <w:shd w:val="clear" w:color="auto" w:fill="F65688"/>
            <w:vAlign w:val="center"/>
          </w:tcPr>
          <w:p>
            <w:pPr>
              <w:spacing w:after="0" w:line="276" w:lineRule="auto"/>
              <w:jc w:val="center"/>
              <w:rPr>
                <w:rFonts w:ascii="Cambria" w:hAnsi="Cambria" w:eastAsia="Times New Roman"/>
                <w:sz w:val="20"/>
                <w:szCs w:val="20"/>
              </w:rPr>
            </w:pPr>
          </w:p>
        </w:tc>
        <w:tc>
          <w:tcPr>
            <w:tcW w:w="2624" w:type="dxa"/>
            <w:shd w:val="clear" w:color="auto" w:fill="F65688"/>
            <w:vAlign w:val="center"/>
          </w:tcPr>
          <w:p>
            <w:pPr>
              <w:spacing w:after="0" w:line="276" w:lineRule="auto"/>
              <w:rPr>
                <w:rFonts w:ascii="Cambria" w:hAnsi="Cambria" w:eastAsia="Times New Roman"/>
                <w:b/>
                <w:sz w:val="20"/>
                <w:szCs w:val="20"/>
              </w:rPr>
            </w:pPr>
            <w:r>
              <w:rPr>
                <w:rFonts w:ascii="Cambria" w:hAnsi="Cambria" w:eastAsia="Times New Roman"/>
                <w:b/>
                <w:sz w:val="20"/>
                <w:szCs w:val="20"/>
              </w:rPr>
              <w:t>Total</w:t>
            </w:r>
          </w:p>
        </w:tc>
        <w:tc>
          <w:tcPr>
            <w:tcW w:w="979" w:type="dxa"/>
            <w:shd w:val="clear" w:color="auto" w:fill="F65688"/>
            <w:vAlign w:val="center"/>
          </w:tcPr>
          <w:p>
            <w:pPr>
              <w:spacing w:after="0" w:line="276" w:lineRule="auto"/>
              <w:jc w:val="center"/>
              <w:rPr>
                <w:rFonts w:hint="default" w:ascii="Cambria" w:hAnsi="Cambria" w:eastAsia="Times New Roman"/>
                <w:b/>
                <w:sz w:val="20"/>
                <w:szCs w:val="20"/>
              </w:rPr>
            </w:pPr>
            <w:r>
              <w:rPr>
                <w:rFonts w:hint="default" w:ascii="Cambria" w:hAnsi="Cambria" w:eastAsia="Times New Roman"/>
                <w:b/>
                <w:sz w:val="20"/>
                <w:szCs w:val="20"/>
              </w:rPr>
              <w:t>1</w:t>
            </w:r>
          </w:p>
        </w:tc>
        <w:tc>
          <w:tcPr>
            <w:tcW w:w="980" w:type="dxa"/>
            <w:shd w:val="clear" w:color="auto" w:fill="F65688"/>
            <w:vAlign w:val="center"/>
          </w:tcPr>
          <w:p>
            <w:pPr>
              <w:spacing w:after="0" w:line="276" w:lineRule="auto"/>
              <w:jc w:val="center"/>
              <w:rPr>
                <w:rFonts w:hint="default" w:ascii="Cambria" w:hAnsi="Cambria" w:eastAsia="Times New Roman"/>
                <w:b/>
                <w:sz w:val="20"/>
                <w:szCs w:val="20"/>
              </w:rPr>
            </w:pPr>
            <w:r>
              <w:rPr>
                <w:rFonts w:hint="default" w:ascii="Cambria" w:hAnsi="Cambria" w:eastAsia="Times New Roman"/>
                <w:b/>
                <w:sz w:val="20"/>
                <w:szCs w:val="20"/>
              </w:rPr>
              <w:t>3</w:t>
            </w:r>
          </w:p>
        </w:tc>
        <w:tc>
          <w:tcPr>
            <w:tcW w:w="979" w:type="dxa"/>
            <w:shd w:val="clear" w:color="auto" w:fill="F65688"/>
            <w:vAlign w:val="center"/>
          </w:tcPr>
          <w:p>
            <w:pPr>
              <w:spacing w:after="0" w:line="276" w:lineRule="auto"/>
              <w:jc w:val="center"/>
              <w:rPr>
                <w:rFonts w:hint="default" w:ascii="Cambria" w:hAnsi="Cambria" w:eastAsia="Times New Roman"/>
                <w:b/>
                <w:sz w:val="20"/>
                <w:szCs w:val="20"/>
              </w:rPr>
            </w:pPr>
            <w:r>
              <w:rPr>
                <w:rFonts w:hint="default" w:ascii="Cambria" w:hAnsi="Cambria" w:eastAsia="Times New Roman"/>
                <w:b/>
                <w:sz w:val="20"/>
                <w:szCs w:val="20"/>
              </w:rPr>
              <w:t>8</w:t>
            </w:r>
          </w:p>
        </w:tc>
        <w:tc>
          <w:tcPr>
            <w:tcW w:w="1229" w:type="dxa"/>
            <w:shd w:val="clear" w:color="auto" w:fill="F65688"/>
            <w:vAlign w:val="center"/>
          </w:tcPr>
          <w:p>
            <w:pPr>
              <w:spacing w:after="0" w:line="276" w:lineRule="auto"/>
              <w:jc w:val="center"/>
              <w:rPr>
                <w:rFonts w:hint="default" w:ascii="Cambria" w:hAnsi="Cambria" w:eastAsia="Times New Roman"/>
                <w:b/>
                <w:sz w:val="20"/>
                <w:szCs w:val="20"/>
              </w:rPr>
            </w:pPr>
            <w:r>
              <w:rPr>
                <w:rFonts w:hint="default" w:ascii="Cambria" w:hAnsi="Cambria" w:eastAsia="Times New Roman"/>
                <w:b/>
                <w:sz w:val="20"/>
                <w:szCs w:val="20"/>
              </w:rPr>
              <w:t>6</w:t>
            </w:r>
          </w:p>
        </w:tc>
        <w:tc>
          <w:tcPr>
            <w:tcW w:w="798" w:type="dxa"/>
            <w:shd w:val="clear" w:color="auto" w:fill="F65688"/>
            <w:vAlign w:val="center"/>
          </w:tcPr>
          <w:p>
            <w:pPr>
              <w:spacing w:after="0" w:line="276" w:lineRule="auto"/>
              <w:jc w:val="center"/>
              <w:rPr>
                <w:rFonts w:hint="default" w:ascii="Cambria" w:hAnsi="Cambria" w:eastAsia="Times New Roman"/>
                <w:b/>
                <w:sz w:val="20"/>
                <w:szCs w:val="20"/>
              </w:rPr>
            </w:pPr>
            <w:r>
              <w:rPr>
                <w:rFonts w:hint="default" w:ascii="Cambria" w:hAnsi="Cambria" w:eastAsia="Times New Roman"/>
                <w:b/>
                <w:sz w:val="20"/>
                <w:szCs w:val="20"/>
              </w:rPr>
              <w:t>41</w:t>
            </w:r>
          </w:p>
        </w:tc>
        <w:tc>
          <w:tcPr>
            <w:tcW w:w="870" w:type="dxa"/>
            <w:shd w:val="clear" w:color="auto" w:fill="F65688"/>
            <w:vAlign w:val="center"/>
          </w:tcPr>
          <w:p>
            <w:pPr>
              <w:spacing w:after="0" w:line="276" w:lineRule="auto"/>
              <w:jc w:val="center"/>
              <w:rPr>
                <w:rFonts w:hint="default" w:ascii="Cambria" w:hAnsi="Cambria" w:eastAsia="Times New Roman"/>
                <w:b/>
                <w:sz w:val="20"/>
                <w:szCs w:val="20"/>
              </w:rPr>
            </w:pPr>
            <w:r>
              <w:rPr>
                <w:rFonts w:hint="default" w:ascii="Cambria" w:hAnsi="Cambria" w:eastAsia="Times New Roman"/>
                <w:b/>
                <w:sz w:val="20"/>
                <w:szCs w:val="20"/>
              </w:rPr>
              <w:t>60</w:t>
            </w:r>
          </w:p>
        </w:tc>
      </w:tr>
    </w:tbl>
    <w:p>
      <w:pPr>
        <w:spacing w:before="120" w:line="240" w:lineRule="auto"/>
        <w:ind w:firstLine="635"/>
        <w:jc w:val="both"/>
        <w:rPr>
          <w:rFonts w:ascii="Cambria" w:hAnsi="Cambria"/>
          <w:sz w:val="10"/>
          <w:szCs w:val="10"/>
        </w:rPr>
      </w:pPr>
    </w:p>
    <w:p>
      <w:pPr>
        <w:spacing w:before="120" w:line="288" w:lineRule="auto"/>
        <w:ind w:firstLine="635"/>
        <w:jc w:val="both"/>
        <w:rPr>
          <w:rFonts w:ascii="Cambria" w:hAnsi="Cambria"/>
          <w:lang w:val="sv-SE"/>
        </w:rPr>
      </w:pPr>
      <w:r>
        <w:rPr>
          <w:rFonts w:ascii="Cambria" w:hAnsi="Cambria"/>
        </w:rPr>
        <w:t xml:space="preserve">Pada </w:t>
      </w:r>
      <w:r>
        <w:rPr>
          <w:rFonts w:ascii="Cambria" w:hAnsi="Cambria" w:cs="Times New Roman"/>
        </w:rPr>
        <w:t>Biro Administrasi Pengadaan dan Pengelolaan Barang Milik Daerah</w:t>
      </w:r>
      <w:r>
        <w:rPr>
          <w:rFonts w:ascii="Cambria" w:hAnsi="Cambria"/>
          <w:lang w:val="sv-SE"/>
        </w:rPr>
        <w:t xml:space="preserve"> terdapat 13 jabatan struktural, yaitu:</w:t>
      </w:r>
    </w:p>
    <w:p>
      <w:pPr>
        <w:widowControl w:val="0"/>
        <w:numPr>
          <w:ilvl w:val="2"/>
          <w:numId w:val="15"/>
        </w:numPr>
        <w:tabs>
          <w:tab w:val="left" w:pos="360"/>
          <w:tab w:val="clear" w:pos="3681"/>
        </w:tabs>
        <w:spacing w:after="0" w:line="288" w:lineRule="auto"/>
        <w:ind w:left="360"/>
        <w:jc w:val="both"/>
        <w:rPr>
          <w:rFonts w:ascii="Cambria" w:hAnsi="Cambria"/>
          <w:lang w:val="fi-FI"/>
        </w:rPr>
      </w:pPr>
      <w:r>
        <w:rPr>
          <w:rFonts w:ascii="Cambria" w:hAnsi="Cambria"/>
          <w:lang w:val="fi-FI"/>
        </w:rPr>
        <w:t>1 Jabatan Kepala Biro, Eselon II</w:t>
      </w:r>
      <w:r>
        <w:rPr>
          <w:rFonts w:ascii="Cambria" w:hAnsi="Cambria"/>
        </w:rPr>
        <w:t>.</w:t>
      </w:r>
      <w:r>
        <w:rPr>
          <w:rFonts w:ascii="Cambria" w:hAnsi="Cambria"/>
          <w:lang w:val="fi-FI"/>
        </w:rPr>
        <w:t>b</w:t>
      </w:r>
    </w:p>
    <w:p>
      <w:pPr>
        <w:widowControl w:val="0"/>
        <w:numPr>
          <w:ilvl w:val="2"/>
          <w:numId w:val="15"/>
        </w:numPr>
        <w:tabs>
          <w:tab w:val="left" w:pos="360"/>
          <w:tab w:val="clear" w:pos="3681"/>
        </w:tabs>
        <w:spacing w:after="0" w:line="288" w:lineRule="auto"/>
        <w:ind w:left="360"/>
        <w:jc w:val="both"/>
        <w:rPr>
          <w:rFonts w:ascii="Cambria" w:hAnsi="Cambria"/>
          <w:lang w:val="fi-FI"/>
        </w:rPr>
      </w:pPr>
      <w:r>
        <w:rPr>
          <w:rFonts w:ascii="Cambria" w:hAnsi="Cambria"/>
          <w:lang w:val="fi-FI"/>
        </w:rPr>
        <w:t xml:space="preserve">3 Jabatan </w:t>
      </w:r>
      <w:r>
        <w:rPr>
          <w:rFonts w:ascii="Cambria" w:hAnsi="Cambria"/>
        </w:rPr>
        <w:t>Kepala Bagian,</w:t>
      </w:r>
      <w:r>
        <w:rPr>
          <w:rFonts w:ascii="Cambria" w:hAnsi="Cambria"/>
          <w:lang w:val="fi-FI"/>
        </w:rPr>
        <w:t xml:space="preserve"> Eselon III.a</w:t>
      </w:r>
    </w:p>
    <w:p>
      <w:pPr>
        <w:widowControl w:val="0"/>
        <w:numPr>
          <w:ilvl w:val="2"/>
          <w:numId w:val="15"/>
        </w:numPr>
        <w:tabs>
          <w:tab w:val="left" w:pos="360"/>
          <w:tab w:val="clear" w:pos="3681"/>
        </w:tabs>
        <w:spacing w:after="0" w:line="288" w:lineRule="auto"/>
        <w:ind w:left="360"/>
        <w:jc w:val="both"/>
        <w:rPr>
          <w:rFonts w:ascii="Cambria" w:hAnsi="Cambria"/>
          <w:lang w:val="fi-FI"/>
        </w:rPr>
      </w:pPr>
      <w:r>
        <w:rPr>
          <w:rFonts w:ascii="Cambria" w:hAnsi="Cambria"/>
        </w:rPr>
        <w:t>9 J</w:t>
      </w:r>
      <w:r>
        <w:rPr>
          <w:rFonts w:ascii="Cambria" w:hAnsi="Cambria"/>
          <w:lang w:val="fi-FI"/>
        </w:rPr>
        <w:t xml:space="preserve">abatan Kepala Sub Bagian, </w:t>
      </w:r>
      <w:r>
        <w:rPr>
          <w:rFonts w:ascii="Cambria" w:hAnsi="Cambria"/>
        </w:rPr>
        <w:t>E</w:t>
      </w:r>
      <w:r>
        <w:rPr>
          <w:rFonts w:ascii="Cambria" w:hAnsi="Cambria"/>
          <w:lang w:val="fi-FI"/>
        </w:rPr>
        <w:t>selon IV</w:t>
      </w:r>
      <w:r>
        <w:rPr>
          <w:rFonts w:ascii="Cambria" w:hAnsi="Cambria"/>
        </w:rPr>
        <w:t>.</w:t>
      </w:r>
      <w:r>
        <w:rPr>
          <w:rFonts w:ascii="Cambria" w:hAnsi="Cambria"/>
          <w:lang w:val="fi-FI"/>
        </w:rPr>
        <w:t>a</w:t>
      </w:r>
    </w:p>
    <w:p>
      <w:pPr>
        <w:widowControl w:val="0"/>
        <w:numPr>
          <w:ilvl w:val="2"/>
          <w:numId w:val="15"/>
        </w:numPr>
        <w:tabs>
          <w:tab w:val="left" w:pos="360"/>
          <w:tab w:val="clear" w:pos="3681"/>
        </w:tabs>
        <w:spacing w:after="0" w:line="288" w:lineRule="auto"/>
        <w:ind w:left="360"/>
        <w:jc w:val="both"/>
        <w:rPr>
          <w:rFonts w:ascii="Cambria" w:hAnsi="Cambria"/>
          <w:lang w:val="fi-FI"/>
        </w:rPr>
      </w:pPr>
      <w:r>
        <w:rPr>
          <w:rFonts w:hint="default" w:ascii="Cambria" w:hAnsi="Cambria"/>
        </w:rPr>
        <w:t>6</w:t>
      </w:r>
      <w:r>
        <w:rPr>
          <w:rFonts w:ascii="Cambria" w:hAnsi="Cambria"/>
          <w:lang w:val="fi-FI"/>
        </w:rPr>
        <w:t xml:space="preserve"> Jabatan Fungsional Pengelola Pengadaan Barang/Jasa</w:t>
      </w:r>
    </w:p>
    <w:p>
      <w:pPr>
        <w:spacing w:line="120" w:lineRule="auto"/>
        <w:jc w:val="both"/>
        <w:rPr>
          <w:rFonts w:ascii="Cambria" w:hAnsi="Cambria"/>
          <w:lang w:val="en-US"/>
        </w:rPr>
      </w:pPr>
    </w:p>
    <w:p>
      <w:pPr>
        <w:spacing w:line="276" w:lineRule="auto"/>
        <w:ind w:firstLine="544"/>
        <w:jc w:val="both"/>
        <w:rPr>
          <w:rFonts w:ascii="Cambria" w:hAnsi="Cambria"/>
          <w:lang w:val="fi-FI"/>
        </w:rPr>
      </w:pPr>
      <w:r>
        <w:rPr>
          <w:rFonts w:ascii="Cambria" w:hAnsi="Cambria"/>
          <w:lang w:val="fi-FI"/>
        </w:rPr>
        <w:t xml:space="preserve">Adapun komposisi Pegawai Negeri Sipil </w:t>
      </w:r>
      <w:r>
        <w:rPr>
          <w:rFonts w:ascii="Cambria" w:hAnsi="Cambria"/>
        </w:rPr>
        <w:t xml:space="preserve">dan Pegawai Tidak Tetap </w:t>
      </w:r>
      <w:r>
        <w:rPr>
          <w:rFonts w:ascii="Cambria" w:hAnsi="Cambria"/>
          <w:lang w:val="fi-FI"/>
        </w:rPr>
        <w:t xml:space="preserve">di lingkungan </w:t>
      </w:r>
      <w:r>
        <w:rPr>
          <w:rFonts w:ascii="Cambria" w:hAnsi="Cambria" w:cs="Times New Roman"/>
        </w:rPr>
        <w:t>Biro Administrasi Pengadaan dan Pengelolaan Barang Milik Daerah</w:t>
      </w:r>
      <w:r>
        <w:rPr>
          <w:rFonts w:ascii="Cambria" w:hAnsi="Cambria"/>
          <w:lang w:val="sv-SE"/>
        </w:rPr>
        <w:t xml:space="preserve"> </w:t>
      </w:r>
      <w:r>
        <w:rPr>
          <w:rFonts w:ascii="Cambria" w:hAnsi="Cambria"/>
        </w:rPr>
        <w:t xml:space="preserve">menurut kondisi terakhir (per </w:t>
      </w:r>
      <w:r>
        <w:rPr>
          <w:rFonts w:hint="default" w:ascii="Cambria" w:hAnsi="Cambria"/>
        </w:rPr>
        <w:t>Septem</w:t>
      </w:r>
      <w:r>
        <w:rPr>
          <w:rFonts w:ascii="Cambria" w:hAnsi="Cambria"/>
          <w:lang w:val="en-US"/>
        </w:rPr>
        <w:t>ber 201</w:t>
      </w:r>
      <w:r>
        <w:rPr>
          <w:rFonts w:hint="default" w:ascii="Cambria" w:hAnsi="Cambria"/>
        </w:rPr>
        <w:t>9</w:t>
      </w:r>
      <w:r>
        <w:rPr>
          <w:rFonts w:ascii="Cambria" w:hAnsi="Cambria"/>
        </w:rPr>
        <w:t xml:space="preserve">) </w:t>
      </w:r>
      <w:r>
        <w:rPr>
          <w:rFonts w:ascii="Cambria" w:hAnsi="Cambria"/>
          <w:lang w:val="fi-FI"/>
        </w:rPr>
        <w:t xml:space="preserve">berdasarkan kualifikasi pendidikan adalah sebagaimana Tabel </w:t>
      </w:r>
      <w:r>
        <w:rPr>
          <w:rFonts w:ascii="Cambria" w:hAnsi="Cambria"/>
        </w:rPr>
        <w:t>2</w:t>
      </w:r>
      <w:r>
        <w:rPr>
          <w:rFonts w:ascii="Cambria" w:hAnsi="Cambria"/>
          <w:lang w:val="fi-FI"/>
        </w:rPr>
        <w:t>.</w:t>
      </w:r>
      <w:r>
        <w:rPr>
          <w:rFonts w:ascii="Cambria" w:hAnsi="Cambria"/>
        </w:rPr>
        <w:t>2</w:t>
      </w:r>
      <w:r>
        <w:rPr>
          <w:rFonts w:ascii="Cambria" w:hAnsi="Cambria"/>
          <w:lang w:val="fi-FI"/>
        </w:rPr>
        <w:t xml:space="preserve"> berikut</w:t>
      </w:r>
      <w:r>
        <w:rPr>
          <w:rFonts w:ascii="Cambria" w:hAnsi="Cambria"/>
        </w:rPr>
        <w:t xml:space="preserve"> </w:t>
      </w:r>
      <w:r>
        <w:rPr>
          <w:rFonts w:ascii="Cambria" w:hAnsi="Cambria"/>
          <w:lang w:val="fi-FI"/>
        </w:rPr>
        <w:t>:</w:t>
      </w:r>
    </w:p>
    <w:p>
      <w:pPr>
        <w:spacing w:after="0" w:line="240" w:lineRule="auto"/>
        <w:jc w:val="center"/>
        <w:rPr>
          <w:rFonts w:ascii="Cambria" w:hAnsi="Cambria"/>
          <w:b/>
          <w:lang w:val="fi-FI"/>
        </w:rPr>
      </w:pPr>
    </w:p>
    <w:p>
      <w:pPr>
        <w:spacing w:after="0" w:line="240" w:lineRule="auto"/>
        <w:jc w:val="center"/>
        <w:rPr>
          <w:rFonts w:ascii="Cambria" w:hAnsi="Cambria"/>
          <w:b/>
          <w:lang w:val="fi-FI"/>
        </w:rPr>
      </w:pPr>
    </w:p>
    <w:p>
      <w:pPr>
        <w:spacing w:after="0" w:line="240" w:lineRule="auto"/>
        <w:jc w:val="center"/>
        <w:rPr>
          <w:rFonts w:ascii="Cambria" w:hAnsi="Cambria"/>
          <w:b/>
          <w:lang w:val="fi-FI"/>
        </w:rPr>
      </w:pPr>
    </w:p>
    <w:p>
      <w:pPr>
        <w:spacing w:after="0" w:line="240" w:lineRule="auto"/>
        <w:jc w:val="center"/>
        <w:rPr>
          <w:rFonts w:ascii="Cambria" w:hAnsi="Cambria"/>
          <w:b/>
          <w:lang w:val="fi-FI"/>
        </w:rPr>
      </w:pPr>
    </w:p>
    <w:p>
      <w:pPr>
        <w:spacing w:after="0" w:line="240" w:lineRule="auto"/>
        <w:jc w:val="center"/>
        <w:rPr>
          <w:rFonts w:ascii="Cambria" w:hAnsi="Cambria"/>
          <w:b/>
          <w:lang w:val="fi-FI"/>
        </w:rPr>
      </w:pPr>
    </w:p>
    <w:p>
      <w:pPr>
        <w:spacing w:after="0" w:line="240" w:lineRule="auto"/>
        <w:jc w:val="center"/>
        <w:rPr>
          <w:rFonts w:ascii="Cambria" w:hAnsi="Cambria"/>
          <w:b/>
          <w:lang w:val="fi-FI"/>
        </w:rPr>
      </w:pPr>
    </w:p>
    <w:p>
      <w:pPr>
        <w:spacing w:after="0" w:line="240" w:lineRule="auto"/>
        <w:jc w:val="center"/>
        <w:rPr>
          <w:rFonts w:ascii="Cambria" w:hAnsi="Cambria"/>
          <w:b/>
        </w:rPr>
      </w:pPr>
      <w:r>
        <w:rPr>
          <w:rFonts w:ascii="Cambria" w:hAnsi="Cambria"/>
          <w:b/>
          <w:lang w:val="fi-FI"/>
        </w:rPr>
        <w:t xml:space="preserve">Tabel </w:t>
      </w:r>
      <w:r>
        <w:rPr>
          <w:rFonts w:ascii="Cambria" w:hAnsi="Cambria"/>
          <w:b/>
        </w:rPr>
        <w:t>2</w:t>
      </w:r>
      <w:r>
        <w:rPr>
          <w:rFonts w:ascii="Cambria" w:hAnsi="Cambria"/>
          <w:b/>
          <w:lang w:val="fi-FI"/>
        </w:rPr>
        <w:t>.</w:t>
      </w:r>
      <w:r>
        <w:rPr>
          <w:rFonts w:ascii="Cambria" w:hAnsi="Cambria"/>
          <w:b/>
        </w:rPr>
        <w:t>2</w:t>
      </w:r>
    </w:p>
    <w:p>
      <w:pPr>
        <w:spacing w:after="0" w:line="240" w:lineRule="auto"/>
        <w:jc w:val="center"/>
        <w:rPr>
          <w:rFonts w:ascii="Cambria" w:hAnsi="Cambria"/>
          <w:b/>
          <w:lang w:val="fi-FI"/>
        </w:rPr>
      </w:pPr>
      <w:r>
        <w:rPr>
          <w:rFonts w:ascii="Cambria" w:hAnsi="Cambria"/>
          <w:b/>
          <w:lang w:val="fi-FI"/>
        </w:rPr>
        <w:t>Komposisi Pegawai Berdasarkan Kualifikasi Pendidikan</w:t>
      </w:r>
    </w:p>
    <w:p>
      <w:pPr>
        <w:tabs>
          <w:tab w:val="left" w:pos="3855"/>
        </w:tabs>
        <w:spacing w:after="0" w:line="288" w:lineRule="auto"/>
        <w:ind w:firstLine="544"/>
        <w:rPr>
          <w:rFonts w:ascii="Cambria" w:hAnsi="Cambria"/>
          <w:lang w:val="fi-FI"/>
        </w:rPr>
      </w:pPr>
      <w:r>
        <w:rPr>
          <w:rFonts w:ascii="Cambria" w:hAnsi="Cambria"/>
          <w:lang w:val="fi-FI"/>
        </w:rPr>
        <w:tab/>
      </w:r>
    </w:p>
    <w:tbl>
      <w:tblPr>
        <w:tblStyle w:val="9"/>
        <w:tblW w:w="8034" w:type="dxa"/>
        <w:tblInd w:w="738" w:type="dxa"/>
        <w:tblBorders>
          <w:top w:val="single" w:color="7295D2" w:themeColor="accent5" w:themeTint="BF" w:sz="8" w:space="0"/>
          <w:left w:val="single" w:color="7295D2" w:themeColor="accent5" w:themeTint="BF" w:sz="8" w:space="0"/>
          <w:bottom w:val="single" w:color="7295D2" w:themeColor="accent5" w:themeTint="BF" w:sz="8" w:space="0"/>
          <w:right w:val="single" w:color="7295D2" w:themeColor="accent5" w:themeTint="BF" w:sz="8" w:space="0"/>
          <w:insideH w:val="single" w:color="7295D2" w:themeColor="accent5" w:themeTint="BF" w:sz="8" w:space="0"/>
          <w:insideV w:val="none" w:color="auto" w:sz="0" w:space="0"/>
        </w:tblBorders>
        <w:shd w:val="clear" w:color="auto" w:fill="F65688"/>
        <w:tblLayout w:type="fixed"/>
        <w:tblCellMar>
          <w:top w:w="0" w:type="dxa"/>
          <w:left w:w="108" w:type="dxa"/>
          <w:bottom w:w="0" w:type="dxa"/>
          <w:right w:w="108" w:type="dxa"/>
        </w:tblCellMar>
      </w:tblPr>
      <w:tblGrid>
        <w:gridCol w:w="1243"/>
        <w:gridCol w:w="797"/>
        <w:gridCol w:w="970"/>
        <w:gridCol w:w="834"/>
        <w:gridCol w:w="978"/>
        <w:gridCol w:w="977"/>
        <w:gridCol w:w="1161"/>
        <w:gridCol w:w="1074"/>
      </w:tblGrid>
      <w:tr>
        <w:tblPrEx>
          <w:tblBorders>
            <w:top w:val="single" w:color="7295D2" w:themeColor="accent5" w:themeTint="BF" w:sz="8" w:space="0"/>
            <w:left w:val="single" w:color="7295D2" w:themeColor="accent5" w:themeTint="BF" w:sz="8" w:space="0"/>
            <w:bottom w:val="single" w:color="7295D2" w:themeColor="accent5" w:themeTint="BF" w:sz="8" w:space="0"/>
            <w:right w:val="single" w:color="7295D2" w:themeColor="accent5" w:themeTint="BF" w:sz="8" w:space="0"/>
            <w:insideH w:val="single" w:color="7295D2" w:themeColor="accent5" w:themeTint="BF" w:sz="8" w:space="0"/>
            <w:insideV w:val="none" w:color="auto" w:sz="0" w:space="0"/>
          </w:tblBorders>
          <w:shd w:val="clear" w:color="auto" w:fill="F65688"/>
          <w:tblLayout w:type="fixed"/>
          <w:tblCellMar>
            <w:top w:w="0" w:type="dxa"/>
            <w:left w:w="108" w:type="dxa"/>
            <w:bottom w:w="0" w:type="dxa"/>
            <w:right w:w="108" w:type="dxa"/>
          </w:tblCellMar>
        </w:tblPrEx>
        <w:tc>
          <w:tcPr>
            <w:tcW w:w="1243" w:type="dxa"/>
            <w:vMerge w:val="restart"/>
            <w:tcBorders>
              <w:top w:val="single" w:color="auto" w:sz="4" w:space="0"/>
              <w:left w:val="single" w:color="auto" w:sz="4" w:space="0"/>
              <w:bottom w:val="single" w:color="auto" w:sz="4" w:space="0"/>
              <w:right w:val="nil"/>
              <w:insideV w:val="nil"/>
            </w:tcBorders>
            <w:shd w:val="clear" w:color="auto" w:fill="FA5256"/>
          </w:tcPr>
          <w:p>
            <w:pPr>
              <w:spacing w:before="0" w:after="0" w:line="240" w:lineRule="auto"/>
              <w:jc w:val="center"/>
              <w:rPr>
                <w:rFonts w:ascii="Gisha" w:hAnsi="Gisha" w:eastAsia="Calibri" w:cs="Gisha"/>
                <w:b/>
                <w:bCs w:val="0"/>
                <w:color w:val="FFFFFF" w:themeColor="background1"/>
                <w:sz w:val="20"/>
                <w:szCs w:val="20"/>
                <w:lang w:val="id-ID"/>
                <w14:textFill>
                  <w14:solidFill>
                    <w14:schemeClr w14:val="bg1"/>
                  </w14:solidFill>
                </w14:textFill>
              </w:rPr>
            </w:pPr>
          </w:p>
          <w:p>
            <w:pPr>
              <w:spacing w:before="0" w:after="0" w:line="240" w:lineRule="auto"/>
              <w:jc w:val="center"/>
              <w:rPr>
                <w:rFonts w:ascii="Gisha" w:hAnsi="Gisha" w:eastAsia="Calibri" w:cs="Gisha"/>
                <w:b/>
                <w:bCs w:val="0"/>
                <w:color w:val="FFFFFF" w:themeColor="background1"/>
                <w:sz w:val="20"/>
                <w:szCs w:val="20"/>
                <w:lang w:val="id-ID"/>
                <w14:textFill>
                  <w14:solidFill>
                    <w14:schemeClr w14:val="bg1"/>
                  </w14:solidFill>
                </w14:textFill>
              </w:rPr>
            </w:pPr>
            <w:r>
              <w:rPr>
                <w:rFonts w:ascii="Gisha" w:hAnsi="Gisha" w:eastAsia="Calibri" w:cs="Gisha"/>
                <w:b/>
                <w:bCs w:val="0"/>
                <w:color w:val="FFFFFF" w:themeColor="background1"/>
                <w:sz w:val="20"/>
                <w:szCs w:val="20"/>
                <w:lang w:val="id-ID"/>
                <w14:textFill>
                  <w14:solidFill>
                    <w14:schemeClr w14:val="bg1"/>
                  </w14:solidFill>
                </w14:textFill>
              </w:rPr>
              <w:t>Golongan</w:t>
            </w:r>
          </w:p>
        </w:tc>
        <w:tc>
          <w:tcPr>
            <w:tcW w:w="5717" w:type="dxa"/>
            <w:gridSpan w:val="6"/>
            <w:tcBorders>
              <w:top w:val="single" w:color="auto" w:sz="4" w:space="0"/>
              <w:left w:val="single" w:color="auto" w:sz="4" w:space="0"/>
              <w:bottom w:val="single" w:color="auto" w:sz="4" w:space="0"/>
              <w:right w:val="nil"/>
              <w:insideV w:val="nil"/>
            </w:tcBorders>
            <w:shd w:val="clear" w:color="auto" w:fill="FA5256"/>
          </w:tcPr>
          <w:p>
            <w:pPr>
              <w:spacing w:before="0" w:after="0" w:line="240" w:lineRule="auto"/>
              <w:jc w:val="center"/>
              <w:rPr>
                <w:rFonts w:ascii="Gisha" w:hAnsi="Gisha" w:eastAsia="Calibri" w:cs="Gisha"/>
                <w:b/>
                <w:bCs w:val="0"/>
                <w:color w:val="FFFFFF" w:themeColor="background1"/>
                <w:sz w:val="20"/>
                <w:szCs w:val="20"/>
                <w:lang w:val="id-ID"/>
                <w14:textFill>
                  <w14:solidFill>
                    <w14:schemeClr w14:val="bg1"/>
                  </w14:solidFill>
                </w14:textFill>
              </w:rPr>
            </w:pPr>
            <w:r>
              <w:rPr>
                <w:rFonts w:ascii="Gisha" w:hAnsi="Gisha" w:eastAsia="Calibri" w:cs="Gisha"/>
                <w:b/>
                <w:bCs w:val="0"/>
                <w:color w:val="FFFFFF" w:themeColor="background1"/>
                <w:sz w:val="20"/>
                <w:szCs w:val="20"/>
                <w:lang w:val="id-ID"/>
                <w14:textFill>
                  <w14:solidFill>
                    <w14:schemeClr w14:val="bg1"/>
                  </w14:solidFill>
                </w14:textFill>
              </w:rPr>
              <w:t>Pendidikan</w:t>
            </w:r>
          </w:p>
        </w:tc>
        <w:tc>
          <w:tcPr>
            <w:tcW w:w="1074" w:type="dxa"/>
            <w:vMerge w:val="restart"/>
            <w:tcBorders>
              <w:top w:val="single" w:color="7295D2" w:themeColor="accent5" w:themeTint="BF" w:sz="8" w:space="0"/>
              <w:left w:val="single" w:color="auto" w:sz="4" w:space="0"/>
              <w:bottom w:val="single" w:color="7295D2" w:themeColor="accent5" w:themeTint="BF" w:sz="8" w:space="0"/>
              <w:right w:val="single" w:color="7295D2" w:themeColor="accent5" w:themeTint="BF" w:sz="8" w:space="0"/>
              <w:insideH w:val="single" w:sz="8" w:space="0"/>
              <w:insideV w:val="nil"/>
            </w:tcBorders>
            <w:shd w:val="clear" w:color="auto" w:fill="FA5256"/>
          </w:tcPr>
          <w:p>
            <w:pPr>
              <w:spacing w:before="0" w:after="0" w:line="240" w:lineRule="auto"/>
              <w:jc w:val="center"/>
              <w:rPr>
                <w:rFonts w:ascii="Gisha" w:hAnsi="Gisha" w:eastAsia="Calibri" w:cs="Gisha"/>
                <w:b/>
                <w:bCs w:val="0"/>
                <w:color w:val="FFFFFF" w:themeColor="background1"/>
                <w:sz w:val="20"/>
                <w:szCs w:val="20"/>
                <w:lang w:val="id-ID"/>
                <w14:textFill>
                  <w14:solidFill>
                    <w14:schemeClr w14:val="bg1"/>
                  </w14:solidFill>
                </w14:textFill>
              </w:rPr>
            </w:pPr>
          </w:p>
          <w:p>
            <w:pPr>
              <w:spacing w:before="0" w:after="0" w:line="240" w:lineRule="auto"/>
              <w:jc w:val="center"/>
              <w:rPr>
                <w:rFonts w:ascii="Gisha" w:hAnsi="Gisha" w:eastAsia="Calibri" w:cs="Gisha"/>
                <w:b/>
                <w:bCs w:val="0"/>
                <w:color w:val="FFFFFF" w:themeColor="background1"/>
                <w:sz w:val="20"/>
                <w:szCs w:val="20"/>
                <w:lang w:val="id-ID"/>
                <w14:textFill>
                  <w14:solidFill>
                    <w14:schemeClr w14:val="bg1"/>
                  </w14:solidFill>
                </w14:textFill>
              </w:rPr>
            </w:pPr>
            <w:r>
              <w:rPr>
                <w:rFonts w:ascii="Gisha" w:hAnsi="Gisha" w:eastAsia="Calibri" w:cs="Gisha"/>
                <w:b/>
                <w:bCs w:val="0"/>
                <w:color w:val="FFFFFF" w:themeColor="background1"/>
                <w:sz w:val="20"/>
                <w:szCs w:val="20"/>
                <w:lang w:val="id-ID"/>
                <w14:textFill>
                  <w14:solidFill>
                    <w14:schemeClr w14:val="bg1"/>
                  </w14:solidFill>
                </w14:textFill>
              </w:rPr>
              <w:t>Jumlah</w:t>
            </w:r>
          </w:p>
        </w:tc>
      </w:tr>
      <w:tr>
        <w:tblPrEx>
          <w:tblBorders>
            <w:top w:val="single" w:color="7295D2" w:themeColor="accent5" w:themeTint="BF" w:sz="8" w:space="0"/>
            <w:left w:val="single" w:color="7295D2" w:themeColor="accent5" w:themeTint="BF" w:sz="8" w:space="0"/>
            <w:bottom w:val="single" w:color="7295D2" w:themeColor="accent5" w:themeTint="BF" w:sz="8" w:space="0"/>
            <w:right w:val="single" w:color="7295D2" w:themeColor="accent5" w:themeTint="BF" w:sz="8" w:space="0"/>
            <w:insideH w:val="single" w:color="7295D2" w:themeColor="accent5" w:themeTint="BF" w:sz="8" w:space="0"/>
            <w:insideV w:val="none" w:color="auto" w:sz="0" w:space="0"/>
          </w:tblBorders>
          <w:tblLayout w:type="fixed"/>
          <w:tblCellMar>
            <w:top w:w="0" w:type="dxa"/>
            <w:left w:w="108" w:type="dxa"/>
            <w:bottom w:w="0" w:type="dxa"/>
            <w:right w:w="108" w:type="dxa"/>
          </w:tblCellMar>
        </w:tblPrEx>
        <w:tc>
          <w:tcPr>
            <w:tcW w:w="1243" w:type="dxa"/>
            <w:vMerge w:val="continue"/>
            <w:tcBorders>
              <w:top w:val="single" w:color="auto" w:sz="4" w:space="0"/>
              <w:left w:val="single" w:color="auto" w:sz="4" w:space="0"/>
              <w:bottom w:val="single" w:color="auto" w:sz="4" w:space="0"/>
              <w:right w:val="nil"/>
              <w:insideV w:val="nil"/>
            </w:tcBorders>
            <w:shd w:val="clear" w:color="auto" w:fill="F65688"/>
          </w:tcPr>
          <w:p>
            <w:pPr>
              <w:spacing w:after="0" w:line="240" w:lineRule="auto"/>
              <w:jc w:val="center"/>
              <w:rPr>
                <w:rFonts w:ascii="Gisha" w:hAnsi="Gisha" w:eastAsia="Calibri" w:cs="Gisha"/>
                <w:b/>
                <w:bCs w:val="0"/>
                <w:sz w:val="20"/>
                <w:szCs w:val="20"/>
                <w:lang w:val="id-ID"/>
              </w:rPr>
            </w:pPr>
          </w:p>
        </w:tc>
        <w:tc>
          <w:tcPr>
            <w:tcW w:w="797" w:type="dxa"/>
            <w:tcBorders>
              <w:top w:val="single" w:color="auto" w:sz="4" w:space="0"/>
              <w:left w:val="single" w:color="auto" w:sz="4" w:space="0"/>
              <w:bottom w:val="single" w:color="auto" w:sz="4" w:space="0"/>
              <w:right w:val="nil"/>
              <w:insideV w:val="nil"/>
            </w:tcBorders>
            <w:shd w:val="clear" w:color="auto" w:fill="FA5256"/>
          </w:tcPr>
          <w:p>
            <w:pPr>
              <w:spacing w:after="0" w:line="240" w:lineRule="auto"/>
              <w:jc w:val="center"/>
              <w:rPr>
                <w:rFonts w:ascii="Gisha" w:hAnsi="Gisha" w:eastAsia="Calibri" w:cs="Gisha"/>
                <w:bCs/>
                <w:sz w:val="20"/>
                <w:szCs w:val="20"/>
                <w:lang w:val="id-ID"/>
              </w:rPr>
            </w:pPr>
            <w:r>
              <w:rPr>
                <w:rFonts w:ascii="Gisha" w:hAnsi="Gisha" w:eastAsia="Calibri" w:cs="Gisha"/>
                <w:bCs/>
                <w:sz w:val="20"/>
                <w:szCs w:val="20"/>
                <w:lang w:val="id-ID"/>
              </w:rPr>
              <w:t>S2</w:t>
            </w:r>
          </w:p>
        </w:tc>
        <w:tc>
          <w:tcPr>
            <w:tcW w:w="970" w:type="dxa"/>
            <w:tcBorders>
              <w:top w:val="single" w:color="auto" w:sz="4" w:space="0"/>
              <w:left w:val="single" w:color="auto" w:sz="4" w:space="0"/>
              <w:bottom w:val="single" w:color="auto" w:sz="4" w:space="0"/>
              <w:right w:val="nil"/>
              <w:insideV w:val="nil"/>
            </w:tcBorders>
            <w:shd w:val="clear" w:color="auto" w:fill="FA5256"/>
          </w:tcPr>
          <w:p>
            <w:pPr>
              <w:spacing w:after="0" w:line="240" w:lineRule="auto"/>
              <w:jc w:val="center"/>
              <w:rPr>
                <w:rFonts w:ascii="Gisha" w:hAnsi="Gisha" w:eastAsia="Calibri" w:cs="Gisha"/>
                <w:bCs/>
                <w:sz w:val="20"/>
                <w:szCs w:val="20"/>
                <w:lang w:val="id-ID"/>
              </w:rPr>
            </w:pPr>
            <w:r>
              <w:rPr>
                <w:rFonts w:ascii="Gisha" w:hAnsi="Gisha" w:eastAsia="Calibri" w:cs="Gisha"/>
                <w:bCs/>
                <w:sz w:val="20"/>
                <w:szCs w:val="20"/>
                <w:lang w:val="id-ID"/>
              </w:rPr>
              <w:t>S1</w:t>
            </w:r>
          </w:p>
        </w:tc>
        <w:tc>
          <w:tcPr>
            <w:tcW w:w="834" w:type="dxa"/>
            <w:tcBorders>
              <w:top w:val="single" w:color="auto" w:sz="4" w:space="0"/>
              <w:left w:val="single" w:color="auto" w:sz="4" w:space="0"/>
              <w:bottom w:val="single" w:color="auto" w:sz="4" w:space="0"/>
              <w:right w:val="nil"/>
              <w:insideV w:val="nil"/>
            </w:tcBorders>
            <w:shd w:val="clear" w:color="auto" w:fill="FA5256"/>
          </w:tcPr>
          <w:p>
            <w:pPr>
              <w:spacing w:after="0" w:line="240" w:lineRule="auto"/>
              <w:jc w:val="center"/>
              <w:rPr>
                <w:rFonts w:ascii="Gisha" w:hAnsi="Gisha" w:eastAsia="Calibri" w:cs="Gisha"/>
                <w:bCs/>
                <w:sz w:val="20"/>
                <w:szCs w:val="20"/>
                <w:lang w:val="id-ID"/>
              </w:rPr>
            </w:pPr>
            <w:r>
              <w:rPr>
                <w:rFonts w:ascii="Gisha" w:hAnsi="Gisha" w:eastAsia="Calibri" w:cs="Gisha"/>
                <w:bCs/>
                <w:sz w:val="20"/>
                <w:szCs w:val="20"/>
                <w:lang w:val="id-ID"/>
              </w:rPr>
              <w:t>D3</w:t>
            </w:r>
          </w:p>
        </w:tc>
        <w:tc>
          <w:tcPr>
            <w:tcW w:w="978" w:type="dxa"/>
            <w:tcBorders>
              <w:top w:val="single" w:color="auto" w:sz="4" w:space="0"/>
              <w:left w:val="single" w:color="auto" w:sz="4" w:space="0"/>
              <w:bottom w:val="single" w:color="auto" w:sz="4" w:space="0"/>
              <w:right w:val="nil"/>
              <w:insideV w:val="nil"/>
            </w:tcBorders>
            <w:shd w:val="clear" w:color="auto" w:fill="FA5256"/>
          </w:tcPr>
          <w:p>
            <w:pPr>
              <w:spacing w:after="0" w:line="240" w:lineRule="auto"/>
              <w:jc w:val="center"/>
              <w:rPr>
                <w:rFonts w:ascii="Gisha" w:hAnsi="Gisha" w:eastAsia="Calibri" w:cs="Gisha"/>
                <w:bCs/>
                <w:sz w:val="20"/>
                <w:szCs w:val="20"/>
                <w:lang w:val="id-ID"/>
              </w:rPr>
            </w:pPr>
            <w:r>
              <w:rPr>
                <w:rFonts w:ascii="Gisha" w:hAnsi="Gisha" w:eastAsia="Calibri" w:cs="Gisha"/>
                <w:bCs/>
                <w:sz w:val="20"/>
                <w:szCs w:val="20"/>
                <w:lang w:val="id-ID"/>
              </w:rPr>
              <w:t>SMA</w:t>
            </w:r>
          </w:p>
        </w:tc>
        <w:tc>
          <w:tcPr>
            <w:tcW w:w="977" w:type="dxa"/>
            <w:tcBorders>
              <w:top w:val="single" w:color="auto" w:sz="4" w:space="0"/>
              <w:left w:val="single" w:color="auto" w:sz="4" w:space="0"/>
              <w:bottom w:val="single" w:color="auto" w:sz="4" w:space="0"/>
              <w:right w:val="nil"/>
              <w:insideV w:val="nil"/>
            </w:tcBorders>
            <w:shd w:val="clear" w:color="auto" w:fill="FA5256"/>
          </w:tcPr>
          <w:p>
            <w:pPr>
              <w:spacing w:after="0" w:line="240" w:lineRule="auto"/>
              <w:jc w:val="center"/>
              <w:rPr>
                <w:rFonts w:ascii="Gisha" w:hAnsi="Gisha" w:eastAsia="Calibri" w:cs="Gisha"/>
                <w:bCs/>
                <w:sz w:val="20"/>
                <w:szCs w:val="20"/>
                <w:lang w:val="id-ID"/>
              </w:rPr>
            </w:pPr>
            <w:r>
              <w:rPr>
                <w:rFonts w:ascii="Gisha" w:hAnsi="Gisha" w:eastAsia="Calibri" w:cs="Gisha"/>
                <w:bCs/>
                <w:sz w:val="20"/>
                <w:szCs w:val="20"/>
                <w:lang w:val="id-ID"/>
              </w:rPr>
              <w:t>SMP</w:t>
            </w:r>
          </w:p>
        </w:tc>
        <w:tc>
          <w:tcPr>
            <w:tcW w:w="1161" w:type="dxa"/>
            <w:tcBorders>
              <w:top w:val="single" w:color="auto" w:sz="4" w:space="0"/>
              <w:left w:val="single" w:color="auto" w:sz="4" w:space="0"/>
              <w:bottom w:val="single" w:color="auto" w:sz="4" w:space="0"/>
              <w:right w:val="nil"/>
              <w:insideV w:val="nil"/>
            </w:tcBorders>
            <w:shd w:val="clear" w:color="auto" w:fill="FA5256"/>
          </w:tcPr>
          <w:p>
            <w:pPr>
              <w:spacing w:after="0" w:line="240" w:lineRule="auto"/>
              <w:jc w:val="center"/>
              <w:rPr>
                <w:rFonts w:ascii="Gisha" w:hAnsi="Gisha" w:eastAsia="Calibri" w:cs="Gisha"/>
                <w:bCs/>
                <w:sz w:val="20"/>
                <w:szCs w:val="20"/>
                <w:lang w:val="id-ID"/>
              </w:rPr>
            </w:pPr>
            <w:r>
              <w:rPr>
                <w:rFonts w:ascii="Gisha" w:hAnsi="Gisha" w:eastAsia="Calibri" w:cs="Gisha"/>
                <w:bCs/>
                <w:sz w:val="20"/>
                <w:szCs w:val="20"/>
                <w:lang w:val="id-ID"/>
              </w:rPr>
              <w:t>SD</w:t>
            </w:r>
          </w:p>
        </w:tc>
        <w:tc>
          <w:tcPr>
            <w:tcW w:w="1074" w:type="dxa"/>
            <w:vMerge w:val="continue"/>
            <w:tcBorders>
              <w:left w:val="single" w:color="auto" w:sz="4" w:space="0"/>
              <w:bottom w:val="single" w:color="auto" w:sz="4" w:space="0"/>
              <w:insideV w:val="nil"/>
            </w:tcBorders>
            <w:shd w:val="clear" w:color="auto" w:fill="F65688"/>
          </w:tcPr>
          <w:p>
            <w:pPr>
              <w:spacing w:after="0" w:line="240" w:lineRule="auto"/>
              <w:jc w:val="center"/>
              <w:rPr>
                <w:rFonts w:ascii="Gisha" w:hAnsi="Gisha" w:eastAsia="Calibri" w:cs="Gisha"/>
                <w:bCs/>
                <w:sz w:val="20"/>
                <w:szCs w:val="20"/>
                <w:lang w:val="id-ID"/>
              </w:rPr>
            </w:pPr>
          </w:p>
        </w:tc>
      </w:tr>
      <w:tr>
        <w:tblPrEx>
          <w:tblBorders>
            <w:top w:val="single" w:color="7295D2" w:themeColor="accent5" w:themeTint="BF" w:sz="8" w:space="0"/>
            <w:left w:val="single" w:color="7295D2" w:themeColor="accent5" w:themeTint="BF" w:sz="8" w:space="0"/>
            <w:bottom w:val="single" w:color="7295D2" w:themeColor="accent5" w:themeTint="BF" w:sz="8" w:space="0"/>
            <w:right w:val="single" w:color="7295D2" w:themeColor="accent5" w:themeTint="BF" w:sz="8" w:space="0"/>
            <w:insideH w:val="single" w:color="7295D2" w:themeColor="accent5" w:themeTint="BF" w:sz="8" w:space="0"/>
            <w:insideV w:val="none" w:color="auto" w:sz="0" w:space="0"/>
          </w:tblBorders>
          <w:shd w:val="clear" w:color="auto" w:fill="F65688"/>
          <w:tblLayout w:type="fixed"/>
          <w:tblCellMar>
            <w:top w:w="0" w:type="dxa"/>
            <w:left w:w="108" w:type="dxa"/>
            <w:bottom w:w="0" w:type="dxa"/>
            <w:right w:w="108" w:type="dxa"/>
          </w:tblCellMar>
        </w:tblPrEx>
        <w:tc>
          <w:tcPr>
            <w:tcW w:w="1243" w:type="dxa"/>
            <w:tcBorders>
              <w:top w:val="single" w:color="auto" w:sz="4" w:space="0"/>
              <w:left w:val="single" w:color="auto" w:sz="4" w:space="0"/>
              <w:bottom w:val="single" w:color="auto" w:sz="4" w:space="0"/>
              <w:right w:val="nil"/>
              <w:insideV w:val="nil"/>
            </w:tcBorders>
            <w:shd w:val="clear" w:color="auto" w:fill="FF0000"/>
          </w:tcPr>
          <w:p>
            <w:pPr>
              <w:spacing w:after="0" w:line="240" w:lineRule="auto"/>
              <w:jc w:val="center"/>
              <w:rPr>
                <w:rFonts w:ascii="Gisha" w:hAnsi="Gisha" w:eastAsia="Calibri" w:cs="Gisha"/>
                <w:b w:val="0"/>
                <w:bCs w:val="0"/>
                <w:color w:val="000000" w:themeColor="text1"/>
                <w:sz w:val="20"/>
                <w:szCs w:val="20"/>
                <w:highlight w:val="none"/>
                <w:lang w:val="id-ID"/>
                <w14:shadow w14:blurRad="63500" w14:dist="50800" w14:dir="18900000">
                  <w14:srgbClr w14:val="000000">
                    <w14:alpha w14:val="50000"/>
                  </w14:srgbClr>
                </w14:shadow>
                <w14:textFill>
                  <w14:solidFill>
                    <w14:schemeClr w14:val="tx1"/>
                  </w14:solidFill>
                </w14:textFill>
              </w:rPr>
            </w:pPr>
            <w:r>
              <w:rPr>
                <w:rFonts w:ascii="Gisha" w:hAnsi="Gisha" w:eastAsia="Calibri" w:cs="Gisha"/>
                <w:b w:val="0"/>
                <w:bCs w:val="0"/>
                <w:color w:val="000000" w:themeColor="text1"/>
                <w:sz w:val="20"/>
                <w:szCs w:val="20"/>
                <w:highlight w:val="none"/>
                <w:lang w:val="id-ID"/>
                <w14:shadow w14:blurRad="63500" w14:dist="50800" w14:dir="18900000">
                  <w14:srgbClr w14:val="000000">
                    <w14:alpha w14:val="50000"/>
                  </w14:srgbClr>
                </w14:shadow>
                <w14:textFill>
                  <w14:solidFill>
                    <w14:schemeClr w14:val="tx1"/>
                  </w14:solidFill>
                </w14:textFill>
              </w:rPr>
              <w:t>1</w:t>
            </w:r>
          </w:p>
        </w:tc>
        <w:tc>
          <w:tcPr>
            <w:tcW w:w="797" w:type="dxa"/>
            <w:tcBorders>
              <w:top w:val="single" w:color="auto" w:sz="4" w:space="0"/>
              <w:left w:val="single" w:color="auto" w:sz="4" w:space="0"/>
              <w:bottom w:val="single" w:color="auto" w:sz="4" w:space="0"/>
              <w:right w:val="nil"/>
              <w:insideV w:val="nil"/>
            </w:tcBorders>
            <w:shd w:val="clear" w:color="auto" w:fill="FF0000"/>
          </w:tcPr>
          <w:p>
            <w:pPr>
              <w:spacing w:after="0" w:line="240" w:lineRule="auto"/>
              <w:jc w:val="center"/>
              <w:rPr>
                <w:rFonts w:ascii="Gisha" w:hAnsi="Gisha" w:eastAsia="Calibri" w:cs="Gisha"/>
                <w:bCs/>
                <w:color w:val="000000" w:themeColor="text1"/>
                <w:sz w:val="20"/>
                <w:szCs w:val="20"/>
                <w:highlight w:val="none"/>
                <w:lang w:val="id-ID"/>
                <w14:shadow w14:blurRad="63500" w14:dist="50800" w14:dir="18900000">
                  <w14:srgbClr w14:val="000000">
                    <w14:alpha w14:val="50000"/>
                  </w14:srgbClr>
                </w14:shadow>
                <w14:textFill>
                  <w14:solidFill>
                    <w14:schemeClr w14:val="tx1"/>
                  </w14:solidFill>
                </w14:textFill>
              </w:rPr>
            </w:pPr>
            <w:r>
              <w:rPr>
                <w:rFonts w:ascii="Gisha" w:hAnsi="Gisha" w:eastAsia="Calibri" w:cs="Gisha"/>
                <w:bCs/>
                <w:color w:val="000000" w:themeColor="text1"/>
                <w:sz w:val="20"/>
                <w:szCs w:val="20"/>
                <w:highlight w:val="none"/>
                <w:lang w:val="id-ID"/>
                <w14:shadow w14:blurRad="63500" w14:dist="50800" w14:dir="18900000">
                  <w14:srgbClr w14:val="000000">
                    <w14:alpha w14:val="50000"/>
                  </w14:srgbClr>
                </w14:shadow>
                <w14:textFill>
                  <w14:solidFill>
                    <w14:schemeClr w14:val="tx1"/>
                  </w14:solidFill>
                </w14:textFill>
              </w:rPr>
              <w:t>2</w:t>
            </w:r>
          </w:p>
        </w:tc>
        <w:tc>
          <w:tcPr>
            <w:tcW w:w="970" w:type="dxa"/>
            <w:tcBorders>
              <w:top w:val="single" w:color="auto" w:sz="4" w:space="0"/>
              <w:left w:val="single" w:color="auto" w:sz="4" w:space="0"/>
              <w:bottom w:val="single" w:color="auto" w:sz="4" w:space="0"/>
              <w:right w:val="nil"/>
              <w:insideV w:val="nil"/>
            </w:tcBorders>
            <w:shd w:val="clear" w:color="auto" w:fill="FF0000"/>
          </w:tcPr>
          <w:p>
            <w:pPr>
              <w:spacing w:after="0" w:line="240" w:lineRule="auto"/>
              <w:jc w:val="center"/>
              <w:rPr>
                <w:rFonts w:ascii="Gisha" w:hAnsi="Gisha" w:eastAsia="Calibri" w:cs="Gisha"/>
                <w:bCs/>
                <w:color w:val="000000" w:themeColor="text1"/>
                <w:sz w:val="20"/>
                <w:szCs w:val="20"/>
                <w:highlight w:val="none"/>
                <w:lang w:val="id-ID"/>
                <w14:shadow w14:blurRad="63500" w14:dist="50800" w14:dir="18900000">
                  <w14:srgbClr w14:val="000000">
                    <w14:alpha w14:val="50000"/>
                  </w14:srgbClr>
                </w14:shadow>
                <w14:textFill>
                  <w14:solidFill>
                    <w14:schemeClr w14:val="tx1"/>
                  </w14:solidFill>
                </w14:textFill>
              </w:rPr>
            </w:pPr>
            <w:r>
              <w:rPr>
                <w:rFonts w:ascii="Gisha" w:hAnsi="Gisha" w:eastAsia="Calibri" w:cs="Gisha"/>
                <w:bCs/>
                <w:color w:val="000000" w:themeColor="text1"/>
                <w:sz w:val="20"/>
                <w:szCs w:val="20"/>
                <w:highlight w:val="none"/>
                <w:lang w:val="id-ID"/>
                <w14:shadow w14:blurRad="63500" w14:dist="50800" w14:dir="18900000">
                  <w14:srgbClr w14:val="000000">
                    <w14:alpha w14:val="50000"/>
                  </w14:srgbClr>
                </w14:shadow>
                <w14:textFill>
                  <w14:solidFill>
                    <w14:schemeClr w14:val="tx1"/>
                  </w14:solidFill>
                </w14:textFill>
              </w:rPr>
              <w:t>3</w:t>
            </w:r>
          </w:p>
        </w:tc>
        <w:tc>
          <w:tcPr>
            <w:tcW w:w="834" w:type="dxa"/>
            <w:tcBorders>
              <w:top w:val="single" w:color="auto" w:sz="4" w:space="0"/>
              <w:left w:val="single" w:color="auto" w:sz="4" w:space="0"/>
              <w:bottom w:val="single" w:color="auto" w:sz="4" w:space="0"/>
              <w:right w:val="nil"/>
              <w:insideV w:val="nil"/>
            </w:tcBorders>
            <w:shd w:val="clear" w:color="auto" w:fill="FF0000"/>
          </w:tcPr>
          <w:p>
            <w:pPr>
              <w:spacing w:after="0" w:line="240" w:lineRule="auto"/>
              <w:jc w:val="center"/>
              <w:rPr>
                <w:rFonts w:ascii="Gisha" w:hAnsi="Gisha" w:eastAsia="Calibri" w:cs="Gisha"/>
                <w:bCs/>
                <w:color w:val="000000" w:themeColor="text1"/>
                <w:sz w:val="20"/>
                <w:szCs w:val="20"/>
                <w:highlight w:val="none"/>
                <w:lang w:val="id-ID"/>
                <w14:shadow w14:blurRad="63500" w14:dist="50800" w14:dir="18900000">
                  <w14:srgbClr w14:val="000000">
                    <w14:alpha w14:val="50000"/>
                  </w14:srgbClr>
                </w14:shadow>
                <w14:textFill>
                  <w14:solidFill>
                    <w14:schemeClr w14:val="tx1"/>
                  </w14:solidFill>
                </w14:textFill>
              </w:rPr>
            </w:pPr>
            <w:r>
              <w:rPr>
                <w:rFonts w:ascii="Gisha" w:hAnsi="Gisha" w:eastAsia="Calibri" w:cs="Gisha"/>
                <w:bCs/>
                <w:color w:val="000000" w:themeColor="text1"/>
                <w:sz w:val="20"/>
                <w:szCs w:val="20"/>
                <w:highlight w:val="none"/>
                <w:lang w:val="id-ID"/>
                <w14:shadow w14:blurRad="63500" w14:dist="50800" w14:dir="18900000">
                  <w14:srgbClr w14:val="000000">
                    <w14:alpha w14:val="50000"/>
                  </w14:srgbClr>
                </w14:shadow>
                <w14:textFill>
                  <w14:solidFill>
                    <w14:schemeClr w14:val="tx1"/>
                  </w14:solidFill>
                </w14:textFill>
              </w:rPr>
              <w:t>4</w:t>
            </w:r>
          </w:p>
        </w:tc>
        <w:tc>
          <w:tcPr>
            <w:tcW w:w="978" w:type="dxa"/>
            <w:tcBorders>
              <w:top w:val="single" w:color="auto" w:sz="4" w:space="0"/>
              <w:left w:val="single" w:color="auto" w:sz="4" w:space="0"/>
              <w:bottom w:val="single" w:color="auto" w:sz="4" w:space="0"/>
              <w:right w:val="nil"/>
              <w:insideV w:val="nil"/>
            </w:tcBorders>
            <w:shd w:val="clear" w:color="auto" w:fill="FF0000"/>
          </w:tcPr>
          <w:p>
            <w:pPr>
              <w:spacing w:after="0" w:line="240" w:lineRule="auto"/>
              <w:jc w:val="center"/>
              <w:rPr>
                <w:rFonts w:ascii="Gisha" w:hAnsi="Gisha" w:eastAsia="Calibri" w:cs="Gisha"/>
                <w:bCs/>
                <w:color w:val="000000" w:themeColor="text1"/>
                <w:sz w:val="20"/>
                <w:szCs w:val="20"/>
                <w:highlight w:val="none"/>
                <w:lang w:val="id-ID"/>
                <w14:shadow w14:blurRad="63500" w14:dist="50800" w14:dir="18900000">
                  <w14:srgbClr w14:val="000000">
                    <w14:alpha w14:val="50000"/>
                  </w14:srgbClr>
                </w14:shadow>
                <w14:textFill>
                  <w14:solidFill>
                    <w14:schemeClr w14:val="tx1"/>
                  </w14:solidFill>
                </w14:textFill>
              </w:rPr>
            </w:pPr>
            <w:r>
              <w:rPr>
                <w:rFonts w:ascii="Gisha" w:hAnsi="Gisha" w:eastAsia="Calibri" w:cs="Gisha"/>
                <w:bCs/>
                <w:color w:val="000000" w:themeColor="text1"/>
                <w:sz w:val="20"/>
                <w:szCs w:val="20"/>
                <w:highlight w:val="none"/>
                <w:lang w:val="id-ID"/>
                <w14:shadow w14:blurRad="63500" w14:dist="50800" w14:dir="18900000">
                  <w14:srgbClr w14:val="000000">
                    <w14:alpha w14:val="50000"/>
                  </w14:srgbClr>
                </w14:shadow>
                <w14:textFill>
                  <w14:solidFill>
                    <w14:schemeClr w14:val="tx1"/>
                  </w14:solidFill>
                </w14:textFill>
              </w:rPr>
              <w:t>5</w:t>
            </w:r>
          </w:p>
        </w:tc>
        <w:tc>
          <w:tcPr>
            <w:tcW w:w="977" w:type="dxa"/>
            <w:tcBorders>
              <w:top w:val="single" w:color="auto" w:sz="4" w:space="0"/>
              <w:left w:val="single" w:color="auto" w:sz="4" w:space="0"/>
              <w:bottom w:val="single" w:color="auto" w:sz="4" w:space="0"/>
              <w:right w:val="nil"/>
              <w:insideV w:val="nil"/>
            </w:tcBorders>
            <w:shd w:val="clear" w:color="auto" w:fill="FF0000"/>
          </w:tcPr>
          <w:p>
            <w:pPr>
              <w:spacing w:after="0" w:line="240" w:lineRule="auto"/>
              <w:jc w:val="center"/>
              <w:rPr>
                <w:rFonts w:ascii="Gisha" w:hAnsi="Gisha" w:eastAsia="Calibri" w:cs="Gisha"/>
                <w:bCs/>
                <w:color w:val="000000" w:themeColor="text1"/>
                <w:sz w:val="20"/>
                <w:szCs w:val="20"/>
                <w:highlight w:val="none"/>
                <w:lang w:val="id-ID"/>
                <w14:shadow w14:blurRad="63500" w14:dist="50800" w14:dir="18900000">
                  <w14:srgbClr w14:val="000000">
                    <w14:alpha w14:val="50000"/>
                  </w14:srgbClr>
                </w14:shadow>
                <w14:textFill>
                  <w14:solidFill>
                    <w14:schemeClr w14:val="tx1"/>
                  </w14:solidFill>
                </w14:textFill>
              </w:rPr>
            </w:pPr>
            <w:r>
              <w:rPr>
                <w:rFonts w:ascii="Gisha" w:hAnsi="Gisha" w:eastAsia="Calibri" w:cs="Gisha"/>
                <w:bCs/>
                <w:color w:val="000000" w:themeColor="text1"/>
                <w:sz w:val="20"/>
                <w:szCs w:val="20"/>
                <w:highlight w:val="none"/>
                <w:lang w:val="id-ID"/>
                <w14:shadow w14:blurRad="63500" w14:dist="50800" w14:dir="18900000">
                  <w14:srgbClr w14:val="000000">
                    <w14:alpha w14:val="50000"/>
                  </w14:srgbClr>
                </w14:shadow>
                <w14:textFill>
                  <w14:solidFill>
                    <w14:schemeClr w14:val="tx1"/>
                  </w14:solidFill>
                </w14:textFill>
              </w:rPr>
              <w:t>6</w:t>
            </w:r>
          </w:p>
        </w:tc>
        <w:tc>
          <w:tcPr>
            <w:tcW w:w="1161" w:type="dxa"/>
            <w:tcBorders>
              <w:top w:val="single" w:color="auto" w:sz="4" w:space="0"/>
              <w:left w:val="single" w:color="auto" w:sz="4" w:space="0"/>
              <w:bottom w:val="single" w:color="auto" w:sz="4" w:space="0"/>
              <w:right w:val="nil"/>
              <w:insideV w:val="nil"/>
            </w:tcBorders>
            <w:shd w:val="clear" w:color="auto" w:fill="FF0000"/>
          </w:tcPr>
          <w:p>
            <w:pPr>
              <w:spacing w:after="0" w:line="240" w:lineRule="auto"/>
              <w:jc w:val="center"/>
              <w:rPr>
                <w:rFonts w:ascii="Gisha" w:hAnsi="Gisha" w:eastAsia="Calibri" w:cs="Gisha"/>
                <w:bCs/>
                <w:color w:val="000000" w:themeColor="text1"/>
                <w:sz w:val="20"/>
                <w:szCs w:val="20"/>
                <w:highlight w:val="none"/>
                <w:lang w:val="id-ID"/>
                <w14:shadow w14:blurRad="63500" w14:dist="50800" w14:dir="18900000">
                  <w14:srgbClr w14:val="000000">
                    <w14:alpha w14:val="50000"/>
                  </w14:srgbClr>
                </w14:shadow>
                <w14:textFill>
                  <w14:solidFill>
                    <w14:schemeClr w14:val="tx1"/>
                  </w14:solidFill>
                </w14:textFill>
              </w:rPr>
            </w:pPr>
            <w:r>
              <w:rPr>
                <w:rFonts w:ascii="Gisha" w:hAnsi="Gisha" w:eastAsia="Calibri" w:cs="Gisha"/>
                <w:bCs/>
                <w:color w:val="000000" w:themeColor="text1"/>
                <w:sz w:val="20"/>
                <w:szCs w:val="20"/>
                <w:highlight w:val="none"/>
                <w:lang w:val="id-ID"/>
                <w14:shadow w14:blurRad="63500" w14:dist="50800" w14:dir="18900000">
                  <w14:srgbClr w14:val="000000">
                    <w14:alpha w14:val="50000"/>
                  </w14:srgbClr>
                </w14:shadow>
                <w14:textFill>
                  <w14:solidFill>
                    <w14:schemeClr w14:val="tx1"/>
                  </w14:solidFill>
                </w14:textFill>
              </w:rPr>
              <w:t>7</w:t>
            </w:r>
          </w:p>
        </w:tc>
        <w:tc>
          <w:tcPr>
            <w:tcW w:w="1074" w:type="dxa"/>
            <w:tcBorders>
              <w:top w:val="single" w:color="auto" w:sz="4" w:space="0"/>
              <w:left w:val="single" w:color="auto" w:sz="4" w:space="0"/>
              <w:bottom w:val="single" w:color="auto" w:sz="4" w:space="0"/>
              <w:right w:val="single" w:color="auto" w:sz="4" w:space="0"/>
              <w:insideV w:val="nil"/>
            </w:tcBorders>
            <w:shd w:val="clear" w:color="auto" w:fill="FF0000"/>
          </w:tcPr>
          <w:p>
            <w:pPr>
              <w:spacing w:after="0" w:line="240" w:lineRule="auto"/>
              <w:jc w:val="center"/>
              <w:rPr>
                <w:rFonts w:ascii="Gisha" w:hAnsi="Gisha" w:eastAsia="Calibri" w:cs="Gisha"/>
                <w:bCs/>
                <w:color w:val="000000" w:themeColor="text1"/>
                <w:sz w:val="20"/>
                <w:szCs w:val="20"/>
                <w:highlight w:val="none"/>
                <w:lang w:val="id-ID"/>
                <w14:shadow w14:blurRad="63500" w14:dist="50800" w14:dir="18900000">
                  <w14:srgbClr w14:val="000000">
                    <w14:alpha w14:val="50000"/>
                  </w14:srgbClr>
                </w14:shadow>
                <w14:textFill>
                  <w14:solidFill>
                    <w14:schemeClr w14:val="tx1"/>
                  </w14:solidFill>
                </w14:textFill>
              </w:rPr>
            </w:pPr>
            <w:r>
              <w:rPr>
                <w:rFonts w:ascii="Gisha" w:hAnsi="Gisha" w:eastAsia="Calibri" w:cs="Gisha"/>
                <w:bCs/>
                <w:color w:val="000000" w:themeColor="text1"/>
                <w:sz w:val="20"/>
                <w:szCs w:val="20"/>
                <w:highlight w:val="none"/>
                <w:lang w:val="id-ID"/>
                <w14:shadow w14:blurRad="63500" w14:dist="50800" w14:dir="18900000">
                  <w14:srgbClr w14:val="000000">
                    <w14:alpha w14:val="50000"/>
                  </w14:srgbClr>
                </w14:shadow>
                <w14:textFill>
                  <w14:solidFill>
                    <w14:schemeClr w14:val="tx1"/>
                  </w14:solidFill>
                </w14:textFill>
              </w:rPr>
              <w:t>8</w:t>
            </w:r>
          </w:p>
        </w:tc>
      </w:tr>
      <w:tr>
        <w:tblPrEx>
          <w:tblBorders>
            <w:top w:val="single" w:color="7295D2" w:themeColor="accent5" w:themeTint="BF" w:sz="8" w:space="0"/>
            <w:left w:val="single" w:color="7295D2" w:themeColor="accent5" w:themeTint="BF" w:sz="8" w:space="0"/>
            <w:bottom w:val="single" w:color="7295D2" w:themeColor="accent5" w:themeTint="BF" w:sz="8" w:space="0"/>
            <w:right w:val="single" w:color="7295D2" w:themeColor="accent5" w:themeTint="BF" w:sz="8" w:space="0"/>
            <w:insideH w:val="single" w:color="7295D2" w:themeColor="accent5" w:themeTint="BF" w:sz="8" w:space="0"/>
            <w:insideV w:val="none" w:color="auto" w:sz="0" w:space="0"/>
          </w:tblBorders>
          <w:shd w:val="clear" w:color="auto" w:fill="F65688"/>
          <w:tblLayout w:type="fixed"/>
          <w:tblCellMar>
            <w:top w:w="0" w:type="dxa"/>
            <w:left w:w="108" w:type="dxa"/>
            <w:bottom w:w="0" w:type="dxa"/>
            <w:right w:w="108" w:type="dxa"/>
          </w:tblCellMar>
        </w:tblPrEx>
        <w:tc>
          <w:tcPr>
            <w:tcW w:w="1243" w:type="dxa"/>
            <w:tcBorders>
              <w:top w:val="single" w:color="auto" w:sz="4" w:space="0"/>
              <w:left w:val="single" w:color="auto" w:sz="4" w:space="0"/>
              <w:bottom w:val="single" w:color="auto" w:sz="4" w:space="0"/>
              <w:right w:val="nil"/>
              <w:insideV w:val="nil"/>
            </w:tcBorders>
            <w:shd w:val="clear" w:color="auto" w:fill="F65688"/>
          </w:tcPr>
          <w:p>
            <w:pPr>
              <w:spacing w:after="0" w:line="240" w:lineRule="auto"/>
              <w:jc w:val="center"/>
              <w:rPr>
                <w:rFonts w:ascii="Gisha" w:hAnsi="Gisha" w:eastAsia="Calibri" w:cs="Gisha"/>
                <w:b/>
                <w:bCs w:val="0"/>
                <w:sz w:val="20"/>
                <w:szCs w:val="20"/>
                <w:lang w:val="id-ID"/>
              </w:rPr>
            </w:pPr>
            <w:r>
              <w:rPr>
                <w:rFonts w:ascii="Gisha" w:hAnsi="Gisha" w:eastAsia="Calibri" w:cs="Gisha"/>
                <w:b/>
                <w:bCs w:val="0"/>
                <w:sz w:val="20"/>
                <w:szCs w:val="20"/>
                <w:lang w:val="id-ID"/>
              </w:rPr>
              <w:t>IV</w:t>
            </w:r>
          </w:p>
        </w:tc>
        <w:tc>
          <w:tcPr>
            <w:tcW w:w="797" w:type="dxa"/>
            <w:tcBorders>
              <w:top w:val="single" w:color="auto" w:sz="4" w:space="0"/>
              <w:left w:val="single" w:color="auto" w:sz="4" w:space="0"/>
              <w:bottom w:val="single" w:color="auto" w:sz="4" w:space="0"/>
              <w:right w:val="nil"/>
              <w:insideV w:val="nil"/>
            </w:tcBorders>
            <w:shd w:val="clear" w:color="auto" w:fill="FEC6C6"/>
          </w:tcPr>
          <w:p>
            <w:pPr>
              <w:spacing w:after="0" w:line="240" w:lineRule="auto"/>
              <w:jc w:val="center"/>
              <w:rPr>
                <w:rFonts w:hint="default" w:ascii="Gisha" w:hAnsi="Gisha" w:eastAsia="Calibri" w:cs="Gisha"/>
                <w:bCs/>
                <w:sz w:val="20"/>
                <w:szCs w:val="20"/>
              </w:rPr>
            </w:pPr>
            <w:r>
              <w:rPr>
                <w:rFonts w:hint="default" w:ascii="Gisha" w:hAnsi="Gisha" w:eastAsia="Calibri" w:cs="Gisha"/>
                <w:bCs/>
                <w:sz w:val="20"/>
                <w:szCs w:val="20"/>
              </w:rPr>
              <w:t>4</w:t>
            </w:r>
          </w:p>
        </w:tc>
        <w:tc>
          <w:tcPr>
            <w:tcW w:w="970" w:type="dxa"/>
            <w:tcBorders>
              <w:top w:val="single" w:color="auto" w:sz="4" w:space="0"/>
              <w:left w:val="single" w:color="auto" w:sz="4" w:space="0"/>
              <w:bottom w:val="single" w:color="auto" w:sz="4" w:space="0"/>
              <w:right w:val="nil"/>
              <w:insideV w:val="nil"/>
            </w:tcBorders>
            <w:shd w:val="clear" w:color="auto" w:fill="FEC6C6"/>
          </w:tcPr>
          <w:p>
            <w:pPr>
              <w:spacing w:after="0" w:line="240" w:lineRule="auto"/>
              <w:jc w:val="center"/>
              <w:rPr>
                <w:rFonts w:hint="default" w:ascii="Gisha" w:hAnsi="Gisha" w:eastAsia="Calibri" w:cs="Gisha"/>
                <w:bCs/>
                <w:sz w:val="20"/>
                <w:szCs w:val="20"/>
              </w:rPr>
            </w:pPr>
            <w:r>
              <w:rPr>
                <w:rFonts w:hint="default" w:ascii="Gisha" w:hAnsi="Gisha" w:eastAsia="Calibri" w:cs="Gisha"/>
                <w:bCs/>
                <w:sz w:val="20"/>
                <w:szCs w:val="20"/>
              </w:rPr>
              <w:t>2</w:t>
            </w:r>
          </w:p>
        </w:tc>
        <w:tc>
          <w:tcPr>
            <w:tcW w:w="834" w:type="dxa"/>
            <w:tcBorders>
              <w:top w:val="single" w:color="auto" w:sz="4" w:space="0"/>
              <w:left w:val="single" w:color="auto" w:sz="4" w:space="0"/>
              <w:bottom w:val="single" w:color="auto" w:sz="4" w:space="0"/>
              <w:right w:val="nil"/>
              <w:insideV w:val="nil"/>
            </w:tcBorders>
            <w:shd w:val="clear" w:color="auto" w:fill="FEC6C6"/>
          </w:tcPr>
          <w:p>
            <w:pPr>
              <w:spacing w:after="0" w:line="240" w:lineRule="auto"/>
              <w:jc w:val="center"/>
              <w:rPr>
                <w:rFonts w:ascii="Gisha" w:hAnsi="Gisha" w:eastAsia="Calibri" w:cs="Gisha"/>
                <w:bCs/>
                <w:sz w:val="20"/>
                <w:szCs w:val="20"/>
                <w:lang w:val="id-ID"/>
              </w:rPr>
            </w:pPr>
            <w:r>
              <w:rPr>
                <w:rFonts w:ascii="Gisha" w:hAnsi="Gisha" w:eastAsia="Calibri" w:cs="Gisha"/>
                <w:bCs/>
                <w:sz w:val="20"/>
                <w:szCs w:val="20"/>
                <w:lang w:val="id-ID"/>
              </w:rPr>
              <w:t>-</w:t>
            </w:r>
          </w:p>
        </w:tc>
        <w:tc>
          <w:tcPr>
            <w:tcW w:w="978" w:type="dxa"/>
            <w:tcBorders>
              <w:top w:val="single" w:color="auto" w:sz="4" w:space="0"/>
              <w:left w:val="single" w:color="auto" w:sz="4" w:space="0"/>
              <w:bottom w:val="single" w:color="auto" w:sz="4" w:space="0"/>
              <w:right w:val="nil"/>
              <w:insideV w:val="nil"/>
            </w:tcBorders>
            <w:shd w:val="clear" w:color="auto" w:fill="FEC6C6"/>
          </w:tcPr>
          <w:p>
            <w:pPr>
              <w:spacing w:after="0" w:line="240" w:lineRule="auto"/>
              <w:jc w:val="center"/>
              <w:rPr>
                <w:rFonts w:ascii="Gisha" w:hAnsi="Gisha" w:eastAsia="Calibri" w:cs="Gisha"/>
                <w:bCs/>
                <w:sz w:val="20"/>
                <w:szCs w:val="20"/>
                <w:lang w:val="id-ID"/>
              </w:rPr>
            </w:pPr>
            <w:r>
              <w:rPr>
                <w:rFonts w:ascii="Gisha" w:hAnsi="Gisha" w:eastAsia="Calibri" w:cs="Gisha"/>
                <w:bCs/>
                <w:sz w:val="20"/>
                <w:szCs w:val="20"/>
                <w:lang w:val="id-ID"/>
              </w:rPr>
              <w:t>-</w:t>
            </w:r>
          </w:p>
        </w:tc>
        <w:tc>
          <w:tcPr>
            <w:tcW w:w="977" w:type="dxa"/>
            <w:tcBorders>
              <w:top w:val="single" w:color="auto" w:sz="4" w:space="0"/>
              <w:left w:val="single" w:color="auto" w:sz="4" w:space="0"/>
              <w:bottom w:val="single" w:color="auto" w:sz="4" w:space="0"/>
              <w:right w:val="nil"/>
              <w:insideV w:val="nil"/>
            </w:tcBorders>
            <w:shd w:val="clear" w:color="auto" w:fill="FEC6C6"/>
          </w:tcPr>
          <w:p>
            <w:pPr>
              <w:spacing w:after="0" w:line="240" w:lineRule="auto"/>
              <w:jc w:val="center"/>
              <w:rPr>
                <w:rFonts w:ascii="Gisha" w:hAnsi="Gisha" w:eastAsia="Calibri" w:cs="Gisha"/>
                <w:bCs/>
                <w:sz w:val="20"/>
                <w:szCs w:val="20"/>
                <w:lang w:val="id-ID"/>
              </w:rPr>
            </w:pPr>
            <w:r>
              <w:rPr>
                <w:rFonts w:ascii="Gisha" w:hAnsi="Gisha" w:eastAsia="Calibri" w:cs="Gisha"/>
                <w:bCs/>
                <w:sz w:val="20"/>
                <w:szCs w:val="20"/>
                <w:lang w:val="id-ID"/>
              </w:rPr>
              <w:t>-</w:t>
            </w:r>
          </w:p>
        </w:tc>
        <w:tc>
          <w:tcPr>
            <w:tcW w:w="1161" w:type="dxa"/>
            <w:tcBorders>
              <w:top w:val="single" w:color="auto" w:sz="4" w:space="0"/>
              <w:left w:val="single" w:color="auto" w:sz="4" w:space="0"/>
              <w:bottom w:val="single" w:color="auto" w:sz="4" w:space="0"/>
              <w:right w:val="nil"/>
              <w:insideV w:val="nil"/>
            </w:tcBorders>
            <w:shd w:val="clear" w:color="auto" w:fill="FEC6C6"/>
          </w:tcPr>
          <w:p>
            <w:pPr>
              <w:spacing w:after="0" w:line="240" w:lineRule="auto"/>
              <w:jc w:val="center"/>
              <w:rPr>
                <w:rFonts w:ascii="Gisha" w:hAnsi="Gisha" w:eastAsia="Calibri" w:cs="Gisha"/>
                <w:bCs/>
                <w:sz w:val="20"/>
                <w:szCs w:val="20"/>
                <w:lang w:val="id-ID"/>
              </w:rPr>
            </w:pPr>
            <w:r>
              <w:rPr>
                <w:rFonts w:ascii="Gisha" w:hAnsi="Gisha" w:eastAsia="Calibri" w:cs="Gisha"/>
                <w:bCs/>
                <w:sz w:val="20"/>
                <w:szCs w:val="20"/>
                <w:lang w:val="id-ID"/>
              </w:rPr>
              <w:t>-</w:t>
            </w:r>
          </w:p>
        </w:tc>
        <w:tc>
          <w:tcPr>
            <w:tcW w:w="1074" w:type="dxa"/>
            <w:tcBorders>
              <w:top w:val="single" w:color="auto" w:sz="4" w:space="0"/>
              <w:left w:val="single" w:color="auto" w:sz="4" w:space="0"/>
              <w:bottom w:val="single" w:color="auto" w:sz="4" w:space="0"/>
              <w:right w:val="single" w:color="auto" w:sz="4" w:space="0"/>
              <w:insideV w:val="nil"/>
            </w:tcBorders>
            <w:shd w:val="clear" w:color="auto" w:fill="F65688"/>
          </w:tcPr>
          <w:p>
            <w:pPr>
              <w:spacing w:after="0" w:line="240" w:lineRule="auto"/>
              <w:jc w:val="center"/>
              <w:rPr>
                <w:rFonts w:ascii="Gisha" w:hAnsi="Gisha" w:eastAsia="Calibri" w:cs="Gisha"/>
                <w:bCs/>
                <w:sz w:val="20"/>
                <w:szCs w:val="20"/>
                <w:lang w:val="en-US"/>
              </w:rPr>
            </w:pPr>
            <w:r>
              <w:rPr>
                <w:rFonts w:ascii="Gisha" w:hAnsi="Gisha" w:eastAsia="Calibri" w:cs="Gisha"/>
                <w:bCs/>
                <w:sz w:val="20"/>
                <w:szCs w:val="20"/>
                <w:lang w:val="en-US"/>
              </w:rPr>
              <w:t>6</w:t>
            </w:r>
          </w:p>
        </w:tc>
      </w:tr>
      <w:tr>
        <w:tblPrEx>
          <w:tblBorders>
            <w:top w:val="single" w:color="7295D2" w:themeColor="accent5" w:themeTint="BF" w:sz="8" w:space="0"/>
            <w:left w:val="single" w:color="7295D2" w:themeColor="accent5" w:themeTint="BF" w:sz="8" w:space="0"/>
            <w:bottom w:val="single" w:color="7295D2" w:themeColor="accent5" w:themeTint="BF" w:sz="8" w:space="0"/>
            <w:right w:val="single" w:color="7295D2" w:themeColor="accent5" w:themeTint="BF" w:sz="8" w:space="0"/>
            <w:insideH w:val="single" w:color="7295D2" w:themeColor="accent5" w:themeTint="BF" w:sz="8" w:space="0"/>
            <w:insideV w:val="none" w:color="auto" w:sz="0" w:space="0"/>
          </w:tblBorders>
          <w:shd w:val="clear" w:color="auto" w:fill="F65688"/>
          <w:tblLayout w:type="fixed"/>
          <w:tblCellMar>
            <w:top w:w="0" w:type="dxa"/>
            <w:left w:w="108" w:type="dxa"/>
            <w:bottom w:w="0" w:type="dxa"/>
            <w:right w:w="108" w:type="dxa"/>
          </w:tblCellMar>
        </w:tblPrEx>
        <w:tc>
          <w:tcPr>
            <w:tcW w:w="1243" w:type="dxa"/>
            <w:tcBorders>
              <w:top w:val="single" w:color="auto" w:sz="4" w:space="0"/>
              <w:left w:val="single" w:color="auto" w:sz="4" w:space="0"/>
              <w:bottom w:val="single" w:color="auto" w:sz="4" w:space="0"/>
              <w:right w:val="nil"/>
              <w:insideV w:val="nil"/>
            </w:tcBorders>
            <w:shd w:val="clear" w:color="auto" w:fill="F65688"/>
          </w:tcPr>
          <w:p>
            <w:pPr>
              <w:spacing w:after="0" w:line="240" w:lineRule="auto"/>
              <w:jc w:val="center"/>
              <w:rPr>
                <w:rFonts w:ascii="Gisha" w:hAnsi="Gisha" w:eastAsia="Calibri" w:cs="Gisha"/>
                <w:b/>
                <w:bCs w:val="0"/>
                <w:sz w:val="20"/>
                <w:szCs w:val="20"/>
                <w:lang w:val="id-ID"/>
              </w:rPr>
            </w:pPr>
            <w:r>
              <w:rPr>
                <w:rFonts w:ascii="Gisha" w:hAnsi="Gisha" w:eastAsia="Calibri" w:cs="Gisha"/>
                <w:b/>
                <w:bCs w:val="0"/>
                <w:sz w:val="20"/>
                <w:szCs w:val="20"/>
                <w:lang w:val="id-ID"/>
              </w:rPr>
              <w:t>III</w:t>
            </w:r>
          </w:p>
        </w:tc>
        <w:tc>
          <w:tcPr>
            <w:tcW w:w="797" w:type="dxa"/>
            <w:tcBorders>
              <w:top w:val="single" w:color="auto" w:sz="4" w:space="0"/>
              <w:left w:val="single" w:color="auto" w:sz="4" w:space="0"/>
              <w:bottom w:val="single" w:color="auto" w:sz="4" w:space="0"/>
              <w:right w:val="nil"/>
              <w:insideV w:val="nil"/>
            </w:tcBorders>
            <w:shd w:val="clear" w:color="auto" w:fill="FEC6C6"/>
          </w:tcPr>
          <w:p>
            <w:pPr>
              <w:spacing w:after="0" w:line="240" w:lineRule="auto"/>
              <w:jc w:val="center"/>
              <w:rPr>
                <w:rFonts w:hint="default" w:ascii="Gisha" w:hAnsi="Gisha" w:eastAsia="Calibri" w:cs="Gisha"/>
                <w:bCs/>
                <w:sz w:val="20"/>
                <w:szCs w:val="20"/>
              </w:rPr>
            </w:pPr>
            <w:r>
              <w:rPr>
                <w:rFonts w:hint="default" w:ascii="Gisha" w:hAnsi="Gisha" w:eastAsia="Calibri" w:cs="Gisha"/>
                <w:bCs/>
                <w:sz w:val="20"/>
                <w:szCs w:val="20"/>
              </w:rPr>
              <w:t>7</w:t>
            </w:r>
          </w:p>
        </w:tc>
        <w:tc>
          <w:tcPr>
            <w:tcW w:w="970" w:type="dxa"/>
            <w:tcBorders>
              <w:top w:val="single" w:color="auto" w:sz="4" w:space="0"/>
              <w:left w:val="single" w:color="auto" w:sz="4" w:space="0"/>
              <w:bottom w:val="single" w:color="auto" w:sz="4" w:space="0"/>
              <w:right w:val="nil"/>
              <w:insideV w:val="nil"/>
            </w:tcBorders>
            <w:shd w:val="clear" w:color="auto" w:fill="FEC6C6"/>
          </w:tcPr>
          <w:p>
            <w:pPr>
              <w:spacing w:after="0" w:line="240" w:lineRule="auto"/>
              <w:jc w:val="center"/>
              <w:rPr>
                <w:rFonts w:hint="default" w:ascii="Gisha" w:hAnsi="Gisha" w:eastAsia="Calibri" w:cs="Gisha"/>
                <w:bCs/>
                <w:sz w:val="20"/>
                <w:szCs w:val="20"/>
              </w:rPr>
            </w:pPr>
            <w:r>
              <w:rPr>
                <w:rFonts w:ascii="Gisha" w:hAnsi="Gisha" w:eastAsia="Calibri" w:cs="Gisha"/>
                <w:bCs/>
                <w:sz w:val="20"/>
                <w:szCs w:val="20"/>
                <w:lang w:val="en-US"/>
              </w:rPr>
              <w:t>2</w:t>
            </w:r>
            <w:r>
              <w:rPr>
                <w:rFonts w:hint="default" w:ascii="Gisha" w:hAnsi="Gisha" w:eastAsia="Calibri" w:cs="Gisha"/>
                <w:bCs/>
                <w:sz w:val="20"/>
                <w:szCs w:val="20"/>
              </w:rPr>
              <w:t>1</w:t>
            </w:r>
          </w:p>
        </w:tc>
        <w:tc>
          <w:tcPr>
            <w:tcW w:w="834" w:type="dxa"/>
            <w:tcBorders>
              <w:top w:val="single" w:color="auto" w:sz="4" w:space="0"/>
              <w:left w:val="single" w:color="auto" w:sz="4" w:space="0"/>
              <w:bottom w:val="single" w:color="auto" w:sz="4" w:space="0"/>
              <w:right w:val="nil"/>
              <w:insideV w:val="nil"/>
            </w:tcBorders>
            <w:shd w:val="clear" w:color="auto" w:fill="FEC6C6"/>
          </w:tcPr>
          <w:p>
            <w:pPr>
              <w:spacing w:after="0" w:line="240" w:lineRule="auto"/>
              <w:jc w:val="center"/>
              <w:rPr>
                <w:rFonts w:hint="default" w:ascii="Gisha" w:hAnsi="Gisha" w:eastAsia="Calibri" w:cs="Gisha"/>
                <w:bCs/>
                <w:sz w:val="20"/>
                <w:szCs w:val="20"/>
              </w:rPr>
            </w:pPr>
            <w:r>
              <w:rPr>
                <w:rFonts w:hint="default" w:ascii="Gisha" w:hAnsi="Gisha" w:eastAsia="Calibri" w:cs="Gisha"/>
                <w:bCs/>
                <w:sz w:val="20"/>
                <w:szCs w:val="20"/>
              </w:rPr>
              <w:t>5</w:t>
            </w:r>
          </w:p>
        </w:tc>
        <w:tc>
          <w:tcPr>
            <w:tcW w:w="978" w:type="dxa"/>
            <w:tcBorders>
              <w:top w:val="single" w:color="auto" w:sz="4" w:space="0"/>
              <w:left w:val="single" w:color="auto" w:sz="4" w:space="0"/>
              <w:bottom w:val="single" w:color="auto" w:sz="4" w:space="0"/>
              <w:right w:val="nil"/>
              <w:insideV w:val="nil"/>
            </w:tcBorders>
            <w:shd w:val="clear" w:color="auto" w:fill="FEC6C6"/>
          </w:tcPr>
          <w:p>
            <w:pPr>
              <w:spacing w:after="0" w:line="240" w:lineRule="auto"/>
              <w:jc w:val="center"/>
              <w:rPr>
                <w:rFonts w:hint="default" w:ascii="Gisha" w:hAnsi="Gisha" w:eastAsia="Calibri" w:cs="Gisha"/>
                <w:bCs/>
                <w:sz w:val="20"/>
                <w:szCs w:val="20"/>
              </w:rPr>
            </w:pPr>
            <w:r>
              <w:rPr>
                <w:rFonts w:hint="default" w:ascii="Gisha" w:hAnsi="Gisha" w:eastAsia="Calibri" w:cs="Gisha"/>
                <w:bCs/>
                <w:sz w:val="20"/>
                <w:szCs w:val="20"/>
              </w:rPr>
              <w:t>5</w:t>
            </w:r>
          </w:p>
        </w:tc>
        <w:tc>
          <w:tcPr>
            <w:tcW w:w="977" w:type="dxa"/>
            <w:tcBorders>
              <w:top w:val="single" w:color="auto" w:sz="4" w:space="0"/>
              <w:left w:val="single" w:color="auto" w:sz="4" w:space="0"/>
              <w:bottom w:val="single" w:color="auto" w:sz="4" w:space="0"/>
              <w:right w:val="nil"/>
              <w:insideV w:val="nil"/>
            </w:tcBorders>
            <w:shd w:val="clear" w:color="auto" w:fill="FEC6C6"/>
          </w:tcPr>
          <w:p>
            <w:pPr>
              <w:spacing w:after="0" w:line="240" w:lineRule="auto"/>
              <w:jc w:val="center"/>
              <w:rPr>
                <w:rFonts w:ascii="Gisha" w:hAnsi="Gisha" w:eastAsia="Calibri" w:cs="Gisha"/>
                <w:bCs/>
                <w:sz w:val="20"/>
                <w:szCs w:val="20"/>
                <w:lang w:val="id-ID"/>
              </w:rPr>
            </w:pPr>
            <w:r>
              <w:rPr>
                <w:rFonts w:ascii="Gisha" w:hAnsi="Gisha" w:eastAsia="Calibri" w:cs="Gisha"/>
                <w:bCs/>
                <w:sz w:val="20"/>
                <w:szCs w:val="20"/>
                <w:lang w:val="id-ID"/>
              </w:rPr>
              <w:t>-</w:t>
            </w:r>
          </w:p>
        </w:tc>
        <w:tc>
          <w:tcPr>
            <w:tcW w:w="1161" w:type="dxa"/>
            <w:tcBorders>
              <w:top w:val="single" w:color="auto" w:sz="4" w:space="0"/>
              <w:left w:val="single" w:color="auto" w:sz="4" w:space="0"/>
              <w:bottom w:val="single" w:color="auto" w:sz="4" w:space="0"/>
              <w:right w:val="nil"/>
              <w:insideV w:val="nil"/>
            </w:tcBorders>
            <w:shd w:val="clear" w:color="auto" w:fill="FEC6C6"/>
          </w:tcPr>
          <w:p>
            <w:pPr>
              <w:spacing w:after="0" w:line="240" w:lineRule="auto"/>
              <w:jc w:val="center"/>
              <w:rPr>
                <w:rFonts w:ascii="Gisha" w:hAnsi="Gisha" w:eastAsia="Calibri" w:cs="Gisha"/>
                <w:bCs/>
                <w:sz w:val="20"/>
                <w:szCs w:val="20"/>
                <w:lang w:val="id-ID"/>
              </w:rPr>
            </w:pPr>
            <w:r>
              <w:rPr>
                <w:rFonts w:ascii="Gisha" w:hAnsi="Gisha" w:eastAsia="Calibri" w:cs="Gisha"/>
                <w:bCs/>
                <w:sz w:val="20"/>
                <w:szCs w:val="20"/>
                <w:lang w:val="id-ID"/>
              </w:rPr>
              <w:t>-</w:t>
            </w:r>
          </w:p>
        </w:tc>
        <w:tc>
          <w:tcPr>
            <w:tcW w:w="1074" w:type="dxa"/>
            <w:tcBorders>
              <w:top w:val="single" w:color="auto" w:sz="4" w:space="0"/>
              <w:left w:val="single" w:color="auto" w:sz="4" w:space="0"/>
              <w:bottom w:val="single" w:color="auto" w:sz="4" w:space="0"/>
              <w:right w:val="single" w:color="auto" w:sz="4" w:space="0"/>
              <w:insideV w:val="nil"/>
            </w:tcBorders>
            <w:shd w:val="clear" w:color="auto" w:fill="F65688"/>
          </w:tcPr>
          <w:p>
            <w:pPr>
              <w:spacing w:after="0" w:line="240" w:lineRule="auto"/>
              <w:jc w:val="center"/>
              <w:rPr>
                <w:rFonts w:hint="default" w:ascii="Gisha" w:hAnsi="Gisha" w:eastAsia="Calibri" w:cs="Gisha"/>
                <w:bCs/>
                <w:sz w:val="20"/>
                <w:szCs w:val="20"/>
              </w:rPr>
            </w:pPr>
            <w:r>
              <w:rPr>
                <w:rFonts w:ascii="Gisha" w:hAnsi="Gisha" w:eastAsia="Calibri" w:cs="Gisha"/>
                <w:bCs/>
                <w:sz w:val="20"/>
                <w:szCs w:val="20"/>
                <w:lang w:val="en-US"/>
              </w:rPr>
              <w:t>3</w:t>
            </w:r>
            <w:r>
              <w:rPr>
                <w:rFonts w:hint="default" w:ascii="Gisha" w:hAnsi="Gisha" w:eastAsia="Calibri" w:cs="Gisha"/>
                <w:bCs/>
                <w:sz w:val="20"/>
                <w:szCs w:val="20"/>
              </w:rPr>
              <w:t>8</w:t>
            </w:r>
          </w:p>
        </w:tc>
      </w:tr>
      <w:tr>
        <w:tblPrEx>
          <w:tblBorders>
            <w:top w:val="single" w:color="7295D2" w:themeColor="accent5" w:themeTint="BF" w:sz="8" w:space="0"/>
            <w:left w:val="single" w:color="7295D2" w:themeColor="accent5" w:themeTint="BF" w:sz="8" w:space="0"/>
            <w:bottom w:val="single" w:color="7295D2" w:themeColor="accent5" w:themeTint="BF" w:sz="8" w:space="0"/>
            <w:right w:val="single" w:color="7295D2" w:themeColor="accent5" w:themeTint="BF" w:sz="8" w:space="0"/>
            <w:insideH w:val="single" w:color="7295D2" w:themeColor="accent5" w:themeTint="BF" w:sz="8" w:space="0"/>
            <w:insideV w:val="none" w:color="auto" w:sz="0" w:space="0"/>
          </w:tblBorders>
          <w:shd w:val="clear" w:color="auto" w:fill="F65688"/>
          <w:tblLayout w:type="fixed"/>
          <w:tblCellMar>
            <w:top w:w="0" w:type="dxa"/>
            <w:left w:w="108" w:type="dxa"/>
            <w:bottom w:w="0" w:type="dxa"/>
            <w:right w:w="108" w:type="dxa"/>
          </w:tblCellMar>
        </w:tblPrEx>
        <w:tc>
          <w:tcPr>
            <w:tcW w:w="1243" w:type="dxa"/>
            <w:tcBorders>
              <w:top w:val="single" w:color="auto" w:sz="4" w:space="0"/>
              <w:left w:val="single" w:color="auto" w:sz="4" w:space="0"/>
              <w:bottom w:val="single" w:color="auto" w:sz="4" w:space="0"/>
              <w:right w:val="nil"/>
              <w:insideV w:val="nil"/>
            </w:tcBorders>
            <w:shd w:val="clear" w:color="auto" w:fill="F65688"/>
          </w:tcPr>
          <w:p>
            <w:pPr>
              <w:spacing w:after="0" w:line="240" w:lineRule="auto"/>
              <w:jc w:val="center"/>
              <w:rPr>
                <w:rFonts w:ascii="Gisha" w:hAnsi="Gisha" w:eastAsia="Calibri" w:cs="Gisha"/>
                <w:b/>
                <w:bCs w:val="0"/>
                <w:sz w:val="20"/>
                <w:szCs w:val="20"/>
                <w:lang w:val="id-ID"/>
              </w:rPr>
            </w:pPr>
            <w:r>
              <w:rPr>
                <w:rFonts w:ascii="Gisha" w:hAnsi="Gisha" w:eastAsia="Calibri" w:cs="Gisha"/>
                <w:b/>
                <w:bCs w:val="0"/>
                <w:sz w:val="20"/>
                <w:szCs w:val="20"/>
                <w:lang w:val="id-ID"/>
              </w:rPr>
              <w:t>II</w:t>
            </w:r>
          </w:p>
        </w:tc>
        <w:tc>
          <w:tcPr>
            <w:tcW w:w="797" w:type="dxa"/>
            <w:tcBorders>
              <w:top w:val="single" w:color="auto" w:sz="4" w:space="0"/>
              <w:left w:val="single" w:color="auto" w:sz="4" w:space="0"/>
              <w:bottom w:val="single" w:color="auto" w:sz="4" w:space="0"/>
              <w:right w:val="nil"/>
              <w:insideV w:val="nil"/>
            </w:tcBorders>
            <w:shd w:val="clear" w:color="auto" w:fill="FEC6C6"/>
          </w:tcPr>
          <w:p>
            <w:pPr>
              <w:spacing w:after="0" w:line="240" w:lineRule="auto"/>
              <w:jc w:val="center"/>
              <w:rPr>
                <w:rFonts w:ascii="Gisha" w:hAnsi="Gisha" w:eastAsia="Calibri" w:cs="Gisha"/>
                <w:bCs/>
                <w:sz w:val="20"/>
                <w:szCs w:val="20"/>
                <w:lang w:val="id-ID"/>
              </w:rPr>
            </w:pPr>
            <w:r>
              <w:rPr>
                <w:rFonts w:ascii="Gisha" w:hAnsi="Gisha" w:eastAsia="Calibri" w:cs="Gisha"/>
                <w:bCs/>
                <w:sz w:val="20"/>
                <w:szCs w:val="20"/>
                <w:lang w:val="id-ID"/>
              </w:rPr>
              <w:t>-</w:t>
            </w:r>
          </w:p>
        </w:tc>
        <w:tc>
          <w:tcPr>
            <w:tcW w:w="970" w:type="dxa"/>
            <w:tcBorders>
              <w:top w:val="single" w:color="auto" w:sz="4" w:space="0"/>
              <w:left w:val="single" w:color="auto" w:sz="4" w:space="0"/>
              <w:bottom w:val="single" w:color="auto" w:sz="4" w:space="0"/>
              <w:right w:val="nil"/>
              <w:insideV w:val="nil"/>
            </w:tcBorders>
            <w:shd w:val="clear" w:color="auto" w:fill="FEC6C6"/>
          </w:tcPr>
          <w:p>
            <w:pPr>
              <w:spacing w:after="0" w:line="240" w:lineRule="auto"/>
              <w:jc w:val="center"/>
              <w:rPr>
                <w:rFonts w:ascii="Gisha" w:hAnsi="Gisha" w:eastAsia="Calibri" w:cs="Gisha"/>
                <w:bCs/>
                <w:sz w:val="20"/>
                <w:szCs w:val="20"/>
                <w:lang w:val="id-ID"/>
              </w:rPr>
            </w:pPr>
            <w:r>
              <w:rPr>
                <w:rFonts w:ascii="Gisha" w:hAnsi="Gisha" w:eastAsia="Calibri" w:cs="Gisha"/>
                <w:bCs/>
                <w:sz w:val="20"/>
                <w:szCs w:val="20"/>
                <w:lang w:val="id-ID"/>
              </w:rPr>
              <w:t>-</w:t>
            </w:r>
          </w:p>
        </w:tc>
        <w:tc>
          <w:tcPr>
            <w:tcW w:w="834" w:type="dxa"/>
            <w:tcBorders>
              <w:top w:val="single" w:color="auto" w:sz="4" w:space="0"/>
              <w:left w:val="single" w:color="auto" w:sz="4" w:space="0"/>
              <w:bottom w:val="single" w:color="auto" w:sz="4" w:space="0"/>
              <w:right w:val="nil"/>
              <w:insideV w:val="nil"/>
            </w:tcBorders>
            <w:shd w:val="clear" w:color="auto" w:fill="FEC6C6"/>
          </w:tcPr>
          <w:p>
            <w:pPr>
              <w:spacing w:after="0" w:line="240" w:lineRule="auto"/>
              <w:jc w:val="center"/>
              <w:rPr>
                <w:rFonts w:hint="default" w:ascii="Gisha" w:hAnsi="Gisha" w:eastAsia="Calibri" w:cs="Gisha"/>
                <w:bCs/>
                <w:sz w:val="20"/>
                <w:szCs w:val="20"/>
              </w:rPr>
            </w:pPr>
            <w:r>
              <w:rPr>
                <w:rFonts w:hint="default" w:ascii="Gisha" w:hAnsi="Gisha" w:eastAsia="Calibri" w:cs="Gisha"/>
                <w:bCs/>
                <w:sz w:val="20"/>
                <w:szCs w:val="20"/>
              </w:rPr>
              <w:t>1</w:t>
            </w:r>
          </w:p>
        </w:tc>
        <w:tc>
          <w:tcPr>
            <w:tcW w:w="978" w:type="dxa"/>
            <w:tcBorders>
              <w:top w:val="single" w:color="auto" w:sz="4" w:space="0"/>
              <w:left w:val="single" w:color="auto" w:sz="4" w:space="0"/>
              <w:bottom w:val="single" w:color="auto" w:sz="4" w:space="0"/>
              <w:right w:val="nil"/>
              <w:insideV w:val="nil"/>
            </w:tcBorders>
            <w:shd w:val="clear" w:color="auto" w:fill="FEC6C6"/>
          </w:tcPr>
          <w:p>
            <w:pPr>
              <w:spacing w:after="0" w:line="240" w:lineRule="auto"/>
              <w:jc w:val="center"/>
              <w:rPr>
                <w:rFonts w:hint="default" w:ascii="Gisha" w:hAnsi="Gisha" w:eastAsia="Calibri" w:cs="Gisha"/>
                <w:bCs/>
                <w:sz w:val="20"/>
                <w:szCs w:val="20"/>
              </w:rPr>
            </w:pPr>
            <w:r>
              <w:rPr>
                <w:rFonts w:hint="default" w:ascii="Gisha" w:hAnsi="Gisha" w:eastAsia="Calibri" w:cs="Gisha"/>
                <w:bCs/>
                <w:sz w:val="20"/>
                <w:szCs w:val="20"/>
              </w:rPr>
              <w:t>8</w:t>
            </w:r>
          </w:p>
        </w:tc>
        <w:tc>
          <w:tcPr>
            <w:tcW w:w="977" w:type="dxa"/>
            <w:tcBorders>
              <w:top w:val="single" w:color="auto" w:sz="4" w:space="0"/>
              <w:left w:val="single" w:color="auto" w:sz="4" w:space="0"/>
              <w:bottom w:val="single" w:color="auto" w:sz="4" w:space="0"/>
              <w:right w:val="nil"/>
              <w:insideV w:val="nil"/>
            </w:tcBorders>
            <w:shd w:val="clear" w:color="auto" w:fill="FEC6C6"/>
          </w:tcPr>
          <w:p>
            <w:pPr>
              <w:spacing w:after="0" w:line="240" w:lineRule="auto"/>
              <w:jc w:val="center"/>
              <w:rPr>
                <w:rFonts w:ascii="Gisha" w:hAnsi="Gisha" w:eastAsia="Calibri" w:cs="Gisha"/>
                <w:bCs/>
                <w:sz w:val="20"/>
                <w:szCs w:val="20"/>
                <w:lang w:val="id-ID"/>
              </w:rPr>
            </w:pPr>
            <w:r>
              <w:rPr>
                <w:rFonts w:ascii="Gisha" w:hAnsi="Gisha" w:eastAsia="Calibri" w:cs="Gisha"/>
                <w:bCs/>
                <w:sz w:val="20"/>
                <w:szCs w:val="20"/>
                <w:lang w:val="id-ID"/>
              </w:rPr>
              <w:t>-</w:t>
            </w:r>
          </w:p>
        </w:tc>
        <w:tc>
          <w:tcPr>
            <w:tcW w:w="1161" w:type="dxa"/>
            <w:tcBorders>
              <w:top w:val="single" w:color="auto" w:sz="4" w:space="0"/>
              <w:left w:val="single" w:color="auto" w:sz="4" w:space="0"/>
              <w:bottom w:val="single" w:color="auto" w:sz="4" w:space="0"/>
              <w:right w:val="nil"/>
              <w:insideV w:val="nil"/>
            </w:tcBorders>
            <w:shd w:val="clear" w:color="auto" w:fill="FEC6C6"/>
          </w:tcPr>
          <w:p>
            <w:pPr>
              <w:spacing w:after="0" w:line="240" w:lineRule="auto"/>
              <w:jc w:val="center"/>
              <w:rPr>
                <w:rFonts w:ascii="Gisha" w:hAnsi="Gisha" w:eastAsia="Calibri" w:cs="Gisha"/>
                <w:bCs/>
                <w:sz w:val="20"/>
                <w:szCs w:val="20"/>
                <w:lang w:val="id-ID"/>
              </w:rPr>
            </w:pPr>
            <w:r>
              <w:rPr>
                <w:rFonts w:ascii="Gisha" w:hAnsi="Gisha" w:eastAsia="Calibri" w:cs="Gisha"/>
                <w:bCs/>
                <w:sz w:val="20"/>
                <w:szCs w:val="20"/>
                <w:lang w:val="id-ID"/>
              </w:rPr>
              <w:t>-</w:t>
            </w:r>
          </w:p>
        </w:tc>
        <w:tc>
          <w:tcPr>
            <w:tcW w:w="1074" w:type="dxa"/>
            <w:tcBorders>
              <w:top w:val="single" w:color="auto" w:sz="4" w:space="0"/>
              <w:left w:val="single" w:color="auto" w:sz="4" w:space="0"/>
              <w:bottom w:val="single" w:color="auto" w:sz="4" w:space="0"/>
              <w:right w:val="single" w:color="auto" w:sz="4" w:space="0"/>
              <w:insideV w:val="nil"/>
            </w:tcBorders>
            <w:shd w:val="clear" w:color="auto" w:fill="F65688"/>
          </w:tcPr>
          <w:p>
            <w:pPr>
              <w:spacing w:after="0" w:line="240" w:lineRule="auto"/>
              <w:jc w:val="center"/>
              <w:rPr>
                <w:rFonts w:hint="default" w:ascii="Gisha" w:hAnsi="Gisha" w:eastAsia="Calibri" w:cs="Gisha"/>
                <w:bCs/>
                <w:sz w:val="20"/>
                <w:szCs w:val="20"/>
              </w:rPr>
            </w:pPr>
            <w:r>
              <w:rPr>
                <w:rFonts w:hint="default" w:ascii="Gisha" w:hAnsi="Gisha" w:eastAsia="Calibri" w:cs="Gisha"/>
                <w:bCs/>
                <w:sz w:val="20"/>
                <w:szCs w:val="20"/>
              </w:rPr>
              <w:t>9</w:t>
            </w:r>
          </w:p>
        </w:tc>
      </w:tr>
      <w:tr>
        <w:tblPrEx>
          <w:tblBorders>
            <w:top w:val="single" w:color="7295D2" w:themeColor="accent5" w:themeTint="BF" w:sz="8" w:space="0"/>
            <w:left w:val="single" w:color="7295D2" w:themeColor="accent5" w:themeTint="BF" w:sz="8" w:space="0"/>
            <w:bottom w:val="single" w:color="7295D2" w:themeColor="accent5" w:themeTint="BF" w:sz="8" w:space="0"/>
            <w:right w:val="single" w:color="7295D2" w:themeColor="accent5" w:themeTint="BF" w:sz="8" w:space="0"/>
            <w:insideH w:val="single" w:color="7295D2" w:themeColor="accent5" w:themeTint="BF" w:sz="8" w:space="0"/>
            <w:insideV w:val="none" w:color="auto" w:sz="0" w:space="0"/>
          </w:tblBorders>
          <w:shd w:val="clear" w:color="auto" w:fill="F65688"/>
          <w:tblLayout w:type="fixed"/>
          <w:tblCellMar>
            <w:top w:w="0" w:type="dxa"/>
            <w:left w:w="108" w:type="dxa"/>
            <w:bottom w:w="0" w:type="dxa"/>
            <w:right w:w="108" w:type="dxa"/>
          </w:tblCellMar>
        </w:tblPrEx>
        <w:tc>
          <w:tcPr>
            <w:tcW w:w="1243" w:type="dxa"/>
            <w:tcBorders>
              <w:top w:val="single" w:color="auto" w:sz="4" w:space="0"/>
              <w:left w:val="single" w:color="auto" w:sz="4" w:space="0"/>
              <w:bottom w:val="single" w:color="auto" w:sz="4" w:space="0"/>
              <w:right w:val="nil"/>
              <w:insideV w:val="nil"/>
            </w:tcBorders>
            <w:shd w:val="clear" w:color="auto" w:fill="F65688"/>
          </w:tcPr>
          <w:p>
            <w:pPr>
              <w:spacing w:after="0" w:line="240" w:lineRule="auto"/>
              <w:jc w:val="center"/>
              <w:rPr>
                <w:rFonts w:ascii="Gisha" w:hAnsi="Gisha" w:eastAsia="Calibri" w:cs="Gisha"/>
                <w:b/>
                <w:bCs w:val="0"/>
                <w:sz w:val="20"/>
                <w:szCs w:val="20"/>
                <w:lang w:val="id-ID"/>
              </w:rPr>
            </w:pPr>
            <w:r>
              <w:rPr>
                <w:rFonts w:ascii="Gisha" w:hAnsi="Gisha" w:eastAsia="Calibri" w:cs="Gisha"/>
                <w:b/>
                <w:bCs w:val="0"/>
                <w:sz w:val="20"/>
                <w:szCs w:val="20"/>
                <w:lang w:val="id-ID"/>
              </w:rPr>
              <w:t>I</w:t>
            </w:r>
          </w:p>
        </w:tc>
        <w:tc>
          <w:tcPr>
            <w:tcW w:w="797" w:type="dxa"/>
            <w:tcBorders>
              <w:top w:val="single" w:color="auto" w:sz="4" w:space="0"/>
              <w:left w:val="single" w:color="auto" w:sz="4" w:space="0"/>
              <w:bottom w:val="single" w:color="auto" w:sz="4" w:space="0"/>
              <w:right w:val="nil"/>
              <w:insideV w:val="nil"/>
            </w:tcBorders>
            <w:shd w:val="clear" w:color="auto" w:fill="FEC6C6"/>
          </w:tcPr>
          <w:p>
            <w:pPr>
              <w:spacing w:after="0" w:line="240" w:lineRule="auto"/>
              <w:jc w:val="center"/>
              <w:rPr>
                <w:rFonts w:ascii="Gisha" w:hAnsi="Gisha" w:eastAsia="Calibri" w:cs="Gisha"/>
                <w:bCs/>
                <w:sz w:val="20"/>
                <w:szCs w:val="20"/>
                <w:lang w:val="id-ID"/>
              </w:rPr>
            </w:pPr>
            <w:r>
              <w:rPr>
                <w:rFonts w:ascii="Gisha" w:hAnsi="Gisha" w:eastAsia="Calibri" w:cs="Gisha"/>
                <w:bCs/>
                <w:sz w:val="20"/>
                <w:szCs w:val="20"/>
                <w:lang w:val="id-ID"/>
              </w:rPr>
              <w:t>-</w:t>
            </w:r>
          </w:p>
        </w:tc>
        <w:tc>
          <w:tcPr>
            <w:tcW w:w="970" w:type="dxa"/>
            <w:tcBorders>
              <w:top w:val="single" w:color="auto" w:sz="4" w:space="0"/>
              <w:left w:val="single" w:color="auto" w:sz="4" w:space="0"/>
              <w:bottom w:val="single" w:color="auto" w:sz="4" w:space="0"/>
              <w:right w:val="nil"/>
              <w:insideV w:val="nil"/>
            </w:tcBorders>
            <w:shd w:val="clear" w:color="auto" w:fill="FEC6C6"/>
          </w:tcPr>
          <w:p>
            <w:pPr>
              <w:spacing w:after="0" w:line="240" w:lineRule="auto"/>
              <w:jc w:val="center"/>
              <w:rPr>
                <w:rFonts w:ascii="Gisha" w:hAnsi="Gisha" w:eastAsia="Calibri" w:cs="Gisha"/>
                <w:bCs/>
                <w:sz w:val="20"/>
                <w:szCs w:val="20"/>
                <w:lang w:val="id-ID"/>
              </w:rPr>
            </w:pPr>
            <w:r>
              <w:rPr>
                <w:rFonts w:ascii="Gisha" w:hAnsi="Gisha" w:eastAsia="Calibri" w:cs="Gisha"/>
                <w:bCs/>
                <w:sz w:val="20"/>
                <w:szCs w:val="20"/>
                <w:lang w:val="id-ID"/>
              </w:rPr>
              <w:t>-</w:t>
            </w:r>
          </w:p>
        </w:tc>
        <w:tc>
          <w:tcPr>
            <w:tcW w:w="834" w:type="dxa"/>
            <w:tcBorders>
              <w:top w:val="single" w:color="auto" w:sz="4" w:space="0"/>
              <w:left w:val="single" w:color="auto" w:sz="4" w:space="0"/>
              <w:bottom w:val="single" w:color="auto" w:sz="4" w:space="0"/>
              <w:right w:val="nil"/>
              <w:insideV w:val="nil"/>
            </w:tcBorders>
            <w:shd w:val="clear" w:color="auto" w:fill="FEC6C6"/>
          </w:tcPr>
          <w:p>
            <w:pPr>
              <w:spacing w:after="0" w:line="240" w:lineRule="auto"/>
              <w:jc w:val="center"/>
              <w:rPr>
                <w:rFonts w:ascii="Gisha" w:hAnsi="Gisha" w:eastAsia="Calibri" w:cs="Gisha"/>
                <w:bCs/>
                <w:sz w:val="20"/>
                <w:szCs w:val="20"/>
                <w:lang w:val="id-ID"/>
              </w:rPr>
            </w:pPr>
            <w:r>
              <w:rPr>
                <w:rFonts w:ascii="Gisha" w:hAnsi="Gisha" w:eastAsia="Calibri" w:cs="Gisha"/>
                <w:bCs/>
                <w:sz w:val="20"/>
                <w:szCs w:val="20"/>
                <w:lang w:val="id-ID"/>
              </w:rPr>
              <w:t>-</w:t>
            </w:r>
          </w:p>
        </w:tc>
        <w:tc>
          <w:tcPr>
            <w:tcW w:w="978" w:type="dxa"/>
            <w:tcBorders>
              <w:top w:val="single" w:color="auto" w:sz="4" w:space="0"/>
              <w:left w:val="single" w:color="auto" w:sz="4" w:space="0"/>
              <w:bottom w:val="single" w:color="auto" w:sz="4" w:space="0"/>
              <w:right w:val="nil"/>
              <w:insideV w:val="nil"/>
            </w:tcBorders>
            <w:shd w:val="clear" w:color="auto" w:fill="FEC6C6"/>
          </w:tcPr>
          <w:p>
            <w:pPr>
              <w:spacing w:after="0" w:line="240" w:lineRule="auto"/>
              <w:jc w:val="center"/>
              <w:rPr>
                <w:rFonts w:ascii="Gisha" w:hAnsi="Gisha" w:eastAsia="Calibri" w:cs="Gisha"/>
                <w:bCs/>
                <w:sz w:val="20"/>
                <w:szCs w:val="20"/>
                <w:lang w:val="id-ID"/>
              </w:rPr>
            </w:pPr>
            <w:r>
              <w:rPr>
                <w:rFonts w:ascii="Gisha" w:hAnsi="Gisha" w:eastAsia="Calibri" w:cs="Gisha"/>
                <w:bCs/>
                <w:sz w:val="20"/>
                <w:szCs w:val="20"/>
                <w:lang w:val="id-ID"/>
              </w:rPr>
              <w:t>-</w:t>
            </w:r>
          </w:p>
        </w:tc>
        <w:tc>
          <w:tcPr>
            <w:tcW w:w="977" w:type="dxa"/>
            <w:tcBorders>
              <w:top w:val="single" w:color="auto" w:sz="4" w:space="0"/>
              <w:left w:val="single" w:color="auto" w:sz="4" w:space="0"/>
              <w:bottom w:val="single" w:color="auto" w:sz="4" w:space="0"/>
              <w:right w:val="nil"/>
              <w:insideV w:val="nil"/>
            </w:tcBorders>
            <w:shd w:val="clear" w:color="auto" w:fill="FEC6C6"/>
          </w:tcPr>
          <w:p>
            <w:pPr>
              <w:spacing w:after="0" w:line="240" w:lineRule="auto"/>
              <w:jc w:val="center"/>
              <w:rPr>
                <w:rFonts w:hint="default" w:ascii="Gisha" w:hAnsi="Gisha" w:eastAsia="Calibri" w:cs="Gisha"/>
                <w:bCs/>
                <w:sz w:val="20"/>
                <w:szCs w:val="20"/>
              </w:rPr>
            </w:pPr>
            <w:r>
              <w:rPr>
                <w:rFonts w:hint="default" w:ascii="Gisha" w:hAnsi="Gisha" w:eastAsia="Calibri" w:cs="Gisha"/>
                <w:bCs/>
                <w:sz w:val="20"/>
                <w:szCs w:val="20"/>
              </w:rPr>
              <w:t>-</w:t>
            </w:r>
          </w:p>
        </w:tc>
        <w:tc>
          <w:tcPr>
            <w:tcW w:w="1161" w:type="dxa"/>
            <w:tcBorders>
              <w:top w:val="single" w:color="auto" w:sz="4" w:space="0"/>
              <w:left w:val="single" w:color="auto" w:sz="4" w:space="0"/>
              <w:bottom w:val="single" w:color="auto" w:sz="4" w:space="0"/>
              <w:right w:val="nil"/>
              <w:insideV w:val="nil"/>
            </w:tcBorders>
            <w:shd w:val="clear" w:color="auto" w:fill="FEC6C6"/>
          </w:tcPr>
          <w:p>
            <w:pPr>
              <w:spacing w:after="0" w:line="240" w:lineRule="auto"/>
              <w:jc w:val="center"/>
              <w:rPr>
                <w:rFonts w:ascii="Gisha" w:hAnsi="Gisha" w:eastAsia="Calibri" w:cs="Gisha"/>
                <w:bCs/>
                <w:sz w:val="20"/>
                <w:szCs w:val="20"/>
                <w:lang w:val="id-ID"/>
              </w:rPr>
            </w:pPr>
            <w:r>
              <w:rPr>
                <w:rFonts w:ascii="Gisha" w:hAnsi="Gisha" w:eastAsia="Calibri" w:cs="Gisha"/>
                <w:bCs/>
                <w:sz w:val="20"/>
                <w:szCs w:val="20"/>
                <w:lang w:val="id-ID"/>
              </w:rPr>
              <w:t>-</w:t>
            </w:r>
          </w:p>
        </w:tc>
        <w:tc>
          <w:tcPr>
            <w:tcW w:w="1074" w:type="dxa"/>
            <w:tcBorders>
              <w:top w:val="single" w:color="auto" w:sz="4" w:space="0"/>
              <w:left w:val="single" w:color="auto" w:sz="4" w:space="0"/>
              <w:bottom w:val="single" w:color="auto" w:sz="4" w:space="0"/>
              <w:right w:val="single" w:color="auto" w:sz="4" w:space="0"/>
              <w:insideV w:val="nil"/>
            </w:tcBorders>
            <w:shd w:val="clear" w:color="auto" w:fill="F65688"/>
          </w:tcPr>
          <w:p>
            <w:pPr>
              <w:spacing w:after="0" w:line="240" w:lineRule="auto"/>
              <w:jc w:val="center"/>
              <w:rPr>
                <w:rFonts w:hint="default" w:ascii="Gisha" w:hAnsi="Gisha" w:eastAsia="Calibri" w:cs="Gisha"/>
                <w:bCs/>
                <w:sz w:val="20"/>
                <w:szCs w:val="20"/>
              </w:rPr>
            </w:pPr>
            <w:r>
              <w:rPr>
                <w:rFonts w:hint="default" w:ascii="Gisha" w:hAnsi="Gisha" w:eastAsia="Calibri" w:cs="Gisha"/>
                <w:bCs/>
                <w:sz w:val="20"/>
                <w:szCs w:val="20"/>
              </w:rPr>
              <w:t>-</w:t>
            </w:r>
          </w:p>
        </w:tc>
      </w:tr>
      <w:tr>
        <w:tblPrEx>
          <w:tblBorders>
            <w:top w:val="single" w:color="7295D2" w:themeColor="accent5" w:themeTint="BF" w:sz="8" w:space="0"/>
            <w:left w:val="single" w:color="7295D2" w:themeColor="accent5" w:themeTint="BF" w:sz="8" w:space="0"/>
            <w:bottom w:val="single" w:color="7295D2" w:themeColor="accent5" w:themeTint="BF" w:sz="8" w:space="0"/>
            <w:right w:val="single" w:color="7295D2" w:themeColor="accent5" w:themeTint="BF" w:sz="8" w:space="0"/>
            <w:insideH w:val="single" w:color="7295D2" w:themeColor="accent5" w:themeTint="BF" w:sz="8" w:space="0"/>
            <w:insideV w:val="none" w:color="auto" w:sz="0" w:space="0"/>
          </w:tblBorders>
          <w:shd w:val="clear" w:color="auto" w:fill="F65688"/>
          <w:tblLayout w:type="fixed"/>
          <w:tblCellMar>
            <w:top w:w="0" w:type="dxa"/>
            <w:left w:w="108" w:type="dxa"/>
            <w:bottom w:w="0" w:type="dxa"/>
            <w:right w:w="108" w:type="dxa"/>
          </w:tblCellMar>
        </w:tblPrEx>
        <w:tc>
          <w:tcPr>
            <w:tcW w:w="1243" w:type="dxa"/>
            <w:tcBorders>
              <w:top w:val="single" w:color="auto" w:sz="4" w:space="0"/>
              <w:left w:val="single" w:color="auto" w:sz="4" w:space="0"/>
              <w:bottom w:val="single" w:color="auto" w:sz="4" w:space="0"/>
              <w:right w:val="nil"/>
              <w:insideV w:val="nil"/>
            </w:tcBorders>
            <w:shd w:val="clear" w:color="auto" w:fill="F65688"/>
          </w:tcPr>
          <w:p>
            <w:pPr>
              <w:spacing w:after="0" w:line="240" w:lineRule="auto"/>
              <w:jc w:val="center"/>
              <w:rPr>
                <w:rFonts w:ascii="Gisha" w:hAnsi="Gisha" w:eastAsia="Calibri" w:cs="Gisha"/>
                <w:b/>
                <w:bCs w:val="0"/>
                <w:sz w:val="20"/>
                <w:szCs w:val="20"/>
                <w:lang w:val="id-ID"/>
              </w:rPr>
            </w:pPr>
            <w:r>
              <w:rPr>
                <w:rFonts w:ascii="Gisha" w:hAnsi="Gisha" w:eastAsia="Calibri" w:cs="Gisha"/>
                <w:b/>
                <w:bCs w:val="0"/>
                <w:sz w:val="20"/>
                <w:szCs w:val="20"/>
                <w:lang w:val="id-ID"/>
              </w:rPr>
              <w:t>PTT</w:t>
            </w:r>
          </w:p>
        </w:tc>
        <w:tc>
          <w:tcPr>
            <w:tcW w:w="797" w:type="dxa"/>
            <w:tcBorders>
              <w:top w:val="single" w:color="auto" w:sz="4" w:space="0"/>
              <w:left w:val="single" w:color="auto" w:sz="4" w:space="0"/>
              <w:bottom w:val="single" w:color="auto" w:sz="4" w:space="0"/>
              <w:right w:val="nil"/>
              <w:insideV w:val="nil"/>
            </w:tcBorders>
            <w:shd w:val="clear" w:color="auto" w:fill="FEC6C6"/>
          </w:tcPr>
          <w:p>
            <w:pPr>
              <w:spacing w:after="0" w:line="240" w:lineRule="auto"/>
              <w:jc w:val="center"/>
              <w:rPr>
                <w:rFonts w:ascii="Gisha" w:hAnsi="Gisha" w:eastAsia="Calibri" w:cs="Gisha"/>
                <w:bCs/>
                <w:sz w:val="20"/>
                <w:szCs w:val="20"/>
                <w:lang w:val="id-ID"/>
              </w:rPr>
            </w:pPr>
            <w:r>
              <w:rPr>
                <w:rFonts w:ascii="Gisha" w:hAnsi="Gisha" w:eastAsia="Calibri" w:cs="Gisha"/>
                <w:bCs/>
                <w:sz w:val="20"/>
                <w:szCs w:val="20"/>
                <w:lang w:val="id-ID"/>
              </w:rPr>
              <w:t>-</w:t>
            </w:r>
          </w:p>
        </w:tc>
        <w:tc>
          <w:tcPr>
            <w:tcW w:w="970" w:type="dxa"/>
            <w:tcBorders>
              <w:top w:val="single" w:color="auto" w:sz="4" w:space="0"/>
              <w:left w:val="single" w:color="auto" w:sz="4" w:space="0"/>
              <w:bottom w:val="single" w:color="auto" w:sz="4" w:space="0"/>
              <w:right w:val="nil"/>
              <w:insideV w:val="nil"/>
            </w:tcBorders>
            <w:shd w:val="clear" w:color="auto" w:fill="FEC6C6"/>
          </w:tcPr>
          <w:p>
            <w:pPr>
              <w:spacing w:after="0" w:line="240" w:lineRule="auto"/>
              <w:jc w:val="center"/>
              <w:rPr>
                <w:rFonts w:hint="default" w:ascii="Gisha" w:hAnsi="Gisha" w:eastAsia="Calibri" w:cs="Gisha"/>
                <w:bCs/>
                <w:sz w:val="20"/>
                <w:szCs w:val="20"/>
              </w:rPr>
            </w:pPr>
            <w:r>
              <w:rPr>
                <w:rFonts w:hint="default" w:ascii="Gisha" w:hAnsi="Gisha" w:eastAsia="Calibri" w:cs="Gisha"/>
                <w:bCs/>
                <w:sz w:val="20"/>
                <w:szCs w:val="20"/>
              </w:rPr>
              <w:t>1</w:t>
            </w:r>
          </w:p>
        </w:tc>
        <w:tc>
          <w:tcPr>
            <w:tcW w:w="834" w:type="dxa"/>
            <w:tcBorders>
              <w:top w:val="single" w:color="auto" w:sz="4" w:space="0"/>
              <w:left w:val="single" w:color="auto" w:sz="4" w:space="0"/>
              <w:bottom w:val="single" w:color="auto" w:sz="4" w:space="0"/>
              <w:right w:val="nil"/>
              <w:insideV w:val="nil"/>
            </w:tcBorders>
            <w:shd w:val="clear" w:color="auto" w:fill="FEC6C6"/>
          </w:tcPr>
          <w:p>
            <w:pPr>
              <w:spacing w:after="0" w:line="240" w:lineRule="auto"/>
              <w:jc w:val="center"/>
              <w:rPr>
                <w:rFonts w:ascii="Gisha" w:hAnsi="Gisha" w:eastAsia="Calibri" w:cs="Gisha"/>
                <w:bCs/>
                <w:sz w:val="20"/>
                <w:szCs w:val="20"/>
                <w:lang w:val="id-ID"/>
              </w:rPr>
            </w:pPr>
            <w:r>
              <w:rPr>
                <w:rFonts w:ascii="Gisha" w:hAnsi="Gisha" w:eastAsia="Calibri" w:cs="Gisha"/>
                <w:bCs/>
                <w:sz w:val="20"/>
                <w:szCs w:val="20"/>
                <w:lang w:val="id-ID"/>
              </w:rPr>
              <w:t>-</w:t>
            </w:r>
          </w:p>
        </w:tc>
        <w:tc>
          <w:tcPr>
            <w:tcW w:w="978" w:type="dxa"/>
            <w:tcBorders>
              <w:top w:val="single" w:color="auto" w:sz="4" w:space="0"/>
              <w:left w:val="single" w:color="auto" w:sz="4" w:space="0"/>
              <w:bottom w:val="single" w:color="auto" w:sz="4" w:space="0"/>
              <w:right w:val="nil"/>
              <w:insideV w:val="nil"/>
            </w:tcBorders>
            <w:shd w:val="clear" w:color="auto" w:fill="FEC6C6"/>
          </w:tcPr>
          <w:p>
            <w:pPr>
              <w:spacing w:after="0" w:line="240" w:lineRule="auto"/>
              <w:jc w:val="center"/>
              <w:rPr>
                <w:rFonts w:ascii="Gisha" w:hAnsi="Gisha" w:eastAsia="Calibri" w:cs="Gisha"/>
                <w:bCs/>
                <w:sz w:val="20"/>
                <w:szCs w:val="20"/>
                <w:lang w:val="id-ID"/>
              </w:rPr>
            </w:pPr>
            <w:r>
              <w:rPr>
                <w:rFonts w:ascii="Gisha" w:hAnsi="Gisha" w:eastAsia="Calibri" w:cs="Gisha"/>
                <w:bCs/>
                <w:sz w:val="20"/>
                <w:szCs w:val="20"/>
                <w:lang w:val="id-ID"/>
              </w:rPr>
              <w:t>-</w:t>
            </w:r>
          </w:p>
        </w:tc>
        <w:tc>
          <w:tcPr>
            <w:tcW w:w="977" w:type="dxa"/>
            <w:tcBorders>
              <w:top w:val="single" w:color="auto" w:sz="4" w:space="0"/>
              <w:left w:val="single" w:color="auto" w:sz="4" w:space="0"/>
              <w:bottom w:val="single" w:color="auto" w:sz="4" w:space="0"/>
              <w:right w:val="nil"/>
              <w:insideV w:val="nil"/>
            </w:tcBorders>
            <w:shd w:val="clear" w:color="auto" w:fill="FEC6C6"/>
          </w:tcPr>
          <w:p>
            <w:pPr>
              <w:spacing w:after="0" w:line="240" w:lineRule="auto"/>
              <w:jc w:val="center"/>
              <w:rPr>
                <w:rFonts w:ascii="Gisha" w:hAnsi="Gisha" w:eastAsia="Calibri" w:cs="Gisha"/>
                <w:bCs/>
                <w:sz w:val="20"/>
                <w:szCs w:val="20"/>
                <w:lang w:val="id-ID"/>
              </w:rPr>
            </w:pPr>
            <w:r>
              <w:rPr>
                <w:rFonts w:ascii="Gisha" w:hAnsi="Gisha" w:eastAsia="Calibri" w:cs="Gisha"/>
                <w:bCs/>
                <w:sz w:val="20"/>
                <w:szCs w:val="20"/>
                <w:lang w:val="id-ID"/>
              </w:rPr>
              <w:t>-</w:t>
            </w:r>
          </w:p>
        </w:tc>
        <w:tc>
          <w:tcPr>
            <w:tcW w:w="1161" w:type="dxa"/>
            <w:tcBorders>
              <w:top w:val="single" w:color="auto" w:sz="4" w:space="0"/>
              <w:left w:val="single" w:color="auto" w:sz="4" w:space="0"/>
              <w:bottom w:val="single" w:color="auto" w:sz="4" w:space="0"/>
              <w:right w:val="nil"/>
              <w:insideV w:val="nil"/>
            </w:tcBorders>
            <w:shd w:val="clear" w:color="auto" w:fill="FEC6C6"/>
          </w:tcPr>
          <w:p>
            <w:pPr>
              <w:spacing w:after="0" w:line="240" w:lineRule="auto"/>
              <w:jc w:val="center"/>
              <w:rPr>
                <w:rFonts w:ascii="Gisha" w:hAnsi="Gisha" w:eastAsia="Calibri" w:cs="Gisha"/>
                <w:bCs/>
                <w:sz w:val="20"/>
                <w:szCs w:val="20"/>
                <w:lang w:val="id-ID"/>
              </w:rPr>
            </w:pPr>
            <w:r>
              <w:rPr>
                <w:rFonts w:ascii="Gisha" w:hAnsi="Gisha" w:eastAsia="Calibri" w:cs="Gisha"/>
                <w:bCs/>
                <w:sz w:val="20"/>
                <w:szCs w:val="20"/>
                <w:lang w:val="id-ID"/>
              </w:rPr>
              <w:t>-</w:t>
            </w:r>
          </w:p>
        </w:tc>
        <w:tc>
          <w:tcPr>
            <w:tcW w:w="1074" w:type="dxa"/>
            <w:tcBorders>
              <w:top w:val="single" w:color="auto" w:sz="4" w:space="0"/>
              <w:left w:val="single" w:color="auto" w:sz="4" w:space="0"/>
              <w:bottom w:val="single" w:color="auto" w:sz="4" w:space="0"/>
              <w:right w:val="single" w:color="auto" w:sz="4" w:space="0"/>
              <w:insideV w:val="nil"/>
            </w:tcBorders>
            <w:shd w:val="clear" w:color="auto" w:fill="F65688"/>
          </w:tcPr>
          <w:p>
            <w:pPr>
              <w:spacing w:after="0" w:line="240" w:lineRule="auto"/>
              <w:jc w:val="center"/>
              <w:rPr>
                <w:rFonts w:hint="default" w:ascii="Gisha" w:hAnsi="Gisha" w:eastAsia="Calibri" w:cs="Gisha"/>
                <w:bCs/>
                <w:sz w:val="20"/>
                <w:szCs w:val="20"/>
              </w:rPr>
            </w:pPr>
            <w:r>
              <w:rPr>
                <w:rFonts w:hint="default" w:ascii="Gisha" w:hAnsi="Gisha" w:eastAsia="Calibri" w:cs="Gisha"/>
                <w:bCs/>
                <w:sz w:val="20"/>
                <w:szCs w:val="20"/>
              </w:rPr>
              <w:t>1</w:t>
            </w:r>
          </w:p>
        </w:tc>
      </w:tr>
      <w:tr>
        <w:tblPrEx>
          <w:tblBorders>
            <w:top w:val="single" w:color="7295D2" w:themeColor="accent5" w:themeTint="BF" w:sz="8" w:space="0"/>
            <w:left w:val="single" w:color="7295D2" w:themeColor="accent5" w:themeTint="BF" w:sz="8" w:space="0"/>
            <w:bottom w:val="single" w:color="7295D2" w:themeColor="accent5" w:themeTint="BF" w:sz="8" w:space="0"/>
            <w:right w:val="single" w:color="7295D2" w:themeColor="accent5" w:themeTint="BF" w:sz="8" w:space="0"/>
            <w:insideH w:val="single" w:color="7295D2" w:themeColor="accent5" w:themeTint="BF" w:sz="8" w:space="0"/>
            <w:insideV w:val="none" w:color="auto" w:sz="0" w:space="0"/>
          </w:tblBorders>
          <w:shd w:val="clear" w:color="auto" w:fill="F65688"/>
          <w:tblLayout w:type="fixed"/>
          <w:tblCellMar>
            <w:top w:w="0" w:type="dxa"/>
            <w:left w:w="108" w:type="dxa"/>
            <w:bottom w:w="0" w:type="dxa"/>
            <w:right w:w="108" w:type="dxa"/>
          </w:tblCellMar>
        </w:tblPrEx>
        <w:tc>
          <w:tcPr>
            <w:tcW w:w="1243" w:type="dxa"/>
            <w:tcBorders>
              <w:top w:val="single" w:color="auto" w:sz="4" w:space="0"/>
              <w:left w:val="single" w:color="auto" w:sz="4" w:space="0"/>
              <w:bottom w:val="single" w:color="auto" w:sz="4" w:space="0"/>
              <w:right w:val="nil"/>
              <w:insideV w:val="nil"/>
            </w:tcBorders>
            <w:shd w:val="clear" w:color="auto" w:fill="F65688"/>
          </w:tcPr>
          <w:p>
            <w:pPr>
              <w:spacing w:after="0" w:line="240" w:lineRule="auto"/>
              <w:jc w:val="center"/>
              <w:rPr>
                <w:rFonts w:ascii="Gisha" w:hAnsi="Gisha" w:eastAsia="Calibri" w:cs="Gisha"/>
                <w:b/>
                <w:bCs w:val="0"/>
                <w:sz w:val="20"/>
                <w:szCs w:val="20"/>
                <w:lang w:val="id-ID"/>
              </w:rPr>
            </w:pPr>
            <w:r>
              <w:rPr>
                <w:rFonts w:ascii="Gisha" w:hAnsi="Gisha" w:eastAsia="Calibri" w:cs="Gisha"/>
                <w:b/>
                <w:bCs w:val="0"/>
                <w:sz w:val="20"/>
                <w:szCs w:val="20"/>
                <w:lang w:val="id-ID"/>
              </w:rPr>
              <w:t>Jumlah</w:t>
            </w:r>
          </w:p>
        </w:tc>
        <w:tc>
          <w:tcPr>
            <w:tcW w:w="797" w:type="dxa"/>
            <w:tcBorders>
              <w:top w:val="single" w:color="auto" w:sz="4" w:space="0"/>
              <w:left w:val="single" w:color="auto" w:sz="4" w:space="0"/>
              <w:bottom w:val="single" w:color="auto" w:sz="4" w:space="0"/>
              <w:right w:val="nil"/>
              <w:insideV w:val="nil"/>
            </w:tcBorders>
            <w:shd w:val="clear" w:color="auto" w:fill="F65688"/>
          </w:tcPr>
          <w:p>
            <w:pPr>
              <w:spacing w:after="0" w:line="240" w:lineRule="auto"/>
              <w:jc w:val="center"/>
              <w:rPr>
                <w:rFonts w:hint="default" w:ascii="Gisha" w:hAnsi="Gisha" w:eastAsia="Calibri" w:cs="Gisha"/>
                <w:bCs/>
                <w:sz w:val="20"/>
                <w:szCs w:val="20"/>
              </w:rPr>
            </w:pPr>
            <w:r>
              <w:rPr>
                <w:rFonts w:ascii="Gisha" w:hAnsi="Gisha" w:eastAsia="Calibri" w:cs="Gisha"/>
                <w:bCs/>
                <w:sz w:val="20"/>
                <w:szCs w:val="20"/>
                <w:lang w:val="id-ID"/>
              </w:rPr>
              <w:t>1</w:t>
            </w:r>
            <w:r>
              <w:rPr>
                <w:rFonts w:hint="default" w:ascii="Gisha" w:hAnsi="Gisha" w:eastAsia="Calibri" w:cs="Gisha"/>
                <w:bCs/>
                <w:sz w:val="20"/>
                <w:szCs w:val="20"/>
              </w:rPr>
              <w:t>1</w:t>
            </w:r>
          </w:p>
        </w:tc>
        <w:tc>
          <w:tcPr>
            <w:tcW w:w="970" w:type="dxa"/>
            <w:tcBorders>
              <w:top w:val="single" w:color="auto" w:sz="4" w:space="0"/>
              <w:left w:val="single" w:color="auto" w:sz="4" w:space="0"/>
              <w:bottom w:val="single" w:color="auto" w:sz="4" w:space="0"/>
              <w:right w:val="nil"/>
              <w:insideV w:val="nil"/>
            </w:tcBorders>
            <w:shd w:val="clear" w:color="auto" w:fill="F65688"/>
          </w:tcPr>
          <w:p>
            <w:pPr>
              <w:spacing w:after="0" w:line="240" w:lineRule="auto"/>
              <w:jc w:val="center"/>
              <w:rPr>
                <w:rFonts w:hint="default" w:ascii="Gisha" w:hAnsi="Gisha" w:eastAsia="Calibri" w:cs="Gisha"/>
                <w:bCs/>
                <w:sz w:val="20"/>
                <w:szCs w:val="20"/>
              </w:rPr>
            </w:pPr>
            <w:r>
              <w:rPr>
                <w:rFonts w:ascii="Gisha" w:hAnsi="Gisha" w:eastAsia="Calibri" w:cs="Gisha"/>
                <w:bCs/>
                <w:sz w:val="20"/>
                <w:szCs w:val="20"/>
                <w:lang w:val="en-US"/>
              </w:rPr>
              <w:t>2</w:t>
            </w:r>
            <w:r>
              <w:rPr>
                <w:rFonts w:hint="default" w:ascii="Gisha" w:hAnsi="Gisha" w:eastAsia="Calibri" w:cs="Gisha"/>
                <w:bCs/>
                <w:sz w:val="20"/>
                <w:szCs w:val="20"/>
              </w:rPr>
              <w:t>4</w:t>
            </w:r>
          </w:p>
        </w:tc>
        <w:tc>
          <w:tcPr>
            <w:tcW w:w="834" w:type="dxa"/>
            <w:tcBorders>
              <w:top w:val="single" w:color="auto" w:sz="4" w:space="0"/>
              <w:left w:val="single" w:color="auto" w:sz="4" w:space="0"/>
              <w:bottom w:val="single" w:color="auto" w:sz="4" w:space="0"/>
              <w:right w:val="nil"/>
              <w:insideV w:val="nil"/>
            </w:tcBorders>
            <w:shd w:val="clear" w:color="auto" w:fill="F65688"/>
          </w:tcPr>
          <w:p>
            <w:pPr>
              <w:spacing w:after="0" w:line="240" w:lineRule="auto"/>
              <w:jc w:val="center"/>
              <w:rPr>
                <w:rFonts w:hint="default" w:ascii="Gisha" w:hAnsi="Gisha" w:eastAsia="Calibri" w:cs="Gisha"/>
                <w:bCs/>
                <w:sz w:val="20"/>
                <w:szCs w:val="20"/>
              </w:rPr>
            </w:pPr>
            <w:r>
              <w:rPr>
                <w:rFonts w:hint="default" w:ascii="Gisha" w:hAnsi="Gisha" w:eastAsia="Calibri" w:cs="Gisha"/>
                <w:bCs/>
                <w:sz w:val="20"/>
                <w:szCs w:val="20"/>
              </w:rPr>
              <w:t>6</w:t>
            </w:r>
          </w:p>
        </w:tc>
        <w:tc>
          <w:tcPr>
            <w:tcW w:w="978" w:type="dxa"/>
            <w:tcBorders>
              <w:top w:val="single" w:color="auto" w:sz="4" w:space="0"/>
              <w:left w:val="single" w:color="auto" w:sz="4" w:space="0"/>
              <w:bottom w:val="single" w:color="auto" w:sz="4" w:space="0"/>
              <w:right w:val="nil"/>
              <w:insideV w:val="nil"/>
            </w:tcBorders>
            <w:shd w:val="clear" w:color="auto" w:fill="F65688"/>
          </w:tcPr>
          <w:p>
            <w:pPr>
              <w:spacing w:after="0" w:line="240" w:lineRule="auto"/>
              <w:jc w:val="center"/>
              <w:rPr>
                <w:rFonts w:hint="default" w:ascii="Gisha" w:hAnsi="Gisha" w:eastAsia="Calibri" w:cs="Gisha"/>
                <w:bCs/>
                <w:sz w:val="20"/>
                <w:szCs w:val="20"/>
              </w:rPr>
            </w:pPr>
            <w:r>
              <w:rPr>
                <w:rFonts w:hint="default" w:ascii="Gisha" w:hAnsi="Gisha" w:eastAsia="Calibri" w:cs="Gisha"/>
                <w:bCs/>
                <w:sz w:val="20"/>
                <w:szCs w:val="20"/>
              </w:rPr>
              <w:t>13</w:t>
            </w:r>
          </w:p>
        </w:tc>
        <w:tc>
          <w:tcPr>
            <w:tcW w:w="977" w:type="dxa"/>
            <w:tcBorders>
              <w:top w:val="single" w:color="auto" w:sz="4" w:space="0"/>
              <w:left w:val="single" w:color="auto" w:sz="4" w:space="0"/>
              <w:bottom w:val="single" w:color="auto" w:sz="4" w:space="0"/>
              <w:right w:val="nil"/>
              <w:insideV w:val="nil"/>
            </w:tcBorders>
            <w:shd w:val="clear" w:color="auto" w:fill="F65688"/>
          </w:tcPr>
          <w:p>
            <w:pPr>
              <w:spacing w:after="0" w:line="240" w:lineRule="auto"/>
              <w:jc w:val="center"/>
              <w:rPr>
                <w:rFonts w:ascii="Gisha" w:hAnsi="Gisha" w:eastAsia="Calibri" w:cs="Gisha"/>
                <w:bCs/>
                <w:sz w:val="20"/>
                <w:szCs w:val="20"/>
                <w:lang w:val="id-ID"/>
              </w:rPr>
            </w:pPr>
          </w:p>
        </w:tc>
        <w:tc>
          <w:tcPr>
            <w:tcW w:w="1161" w:type="dxa"/>
            <w:tcBorders>
              <w:top w:val="single" w:color="auto" w:sz="4" w:space="0"/>
              <w:left w:val="single" w:color="auto" w:sz="4" w:space="0"/>
              <w:bottom w:val="single" w:color="auto" w:sz="4" w:space="0"/>
              <w:right w:val="nil"/>
              <w:insideV w:val="nil"/>
            </w:tcBorders>
            <w:shd w:val="clear" w:color="auto" w:fill="F65688"/>
          </w:tcPr>
          <w:p>
            <w:pPr>
              <w:spacing w:after="0" w:line="240" w:lineRule="auto"/>
              <w:jc w:val="center"/>
              <w:rPr>
                <w:rFonts w:ascii="Gisha" w:hAnsi="Gisha" w:eastAsia="Calibri" w:cs="Gisha"/>
                <w:bCs/>
                <w:sz w:val="20"/>
                <w:szCs w:val="20"/>
                <w:lang w:val="id-ID"/>
              </w:rPr>
            </w:pPr>
            <w:r>
              <w:rPr>
                <w:rFonts w:ascii="Gisha" w:hAnsi="Gisha" w:eastAsia="Calibri" w:cs="Gisha"/>
                <w:bCs/>
                <w:sz w:val="20"/>
                <w:szCs w:val="20"/>
                <w:lang w:val="id-ID"/>
              </w:rPr>
              <w:t>-</w:t>
            </w:r>
          </w:p>
        </w:tc>
        <w:tc>
          <w:tcPr>
            <w:tcW w:w="1074" w:type="dxa"/>
            <w:tcBorders>
              <w:top w:val="single" w:color="auto" w:sz="4" w:space="0"/>
              <w:left w:val="single" w:color="auto" w:sz="4" w:space="0"/>
              <w:bottom w:val="single" w:color="auto" w:sz="4" w:space="0"/>
              <w:right w:val="single" w:color="auto" w:sz="4" w:space="0"/>
              <w:insideV w:val="nil"/>
            </w:tcBorders>
            <w:shd w:val="clear" w:color="auto" w:fill="F65688"/>
          </w:tcPr>
          <w:p>
            <w:pPr>
              <w:spacing w:after="0" w:line="240" w:lineRule="auto"/>
              <w:jc w:val="center"/>
              <w:rPr>
                <w:rFonts w:hint="default" w:ascii="Gisha" w:hAnsi="Gisha" w:eastAsia="Calibri" w:cs="Gisha"/>
                <w:bCs/>
                <w:sz w:val="20"/>
                <w:szCs w:val="20"/>
              </w:rPr>
            </w:pPr>
            <w:r>
              <w:rPr>
                <w:rFonts w:ascii="Gisha" w:hAnsi="Gisha" w:eastAsia="Calibri" w:cs="Gisha"/>
                <w:bCs/>
                <w:sz w:val="20"/>
                <w:szCs w:val="20"/>
                <w:lang w:val="en-US"/>
              </w:rPr>
              <w:t>5</w:t>
            </w:r>
            <w:r>
              <w:rPr>
                <w:rFonts w:hint="default" w:ascii="Gisha" w:hAnsi="Gisha" w:eastAsia="Calibri" w:cs="Gisha"/>
                <w:bCs/>
                <w:sz w:val="20"/>
                <w:szCs w:val="20"/>
              </w:rPr>
              <w:t>4</w:t>
            </w:r>
          </w:p>
        </w:tc>
      </w:tr>
    </w:tbl>
    <w:p>
      <w:pPr>
        <w:spacing w:line="288" w:lineRule="auto"/>
        <w:ind w:firstLine="544"/>
        <w:jc w:val="both"/>
        <w:rPr>
          <w:rFonts w:ascii="Cambria" w:hAnsi="Cambria"/>
          <w:sz w:val="23"/>
          <w:szCs w:val="23"/>
          <w:lang w:val="fi-FI"/>
        </w:rPr>
      </w:pPr>
    </w:p>
    <w:p>
      <w:pPr>
        <w:spacing w:line="276" w:lineRule="auto"/>
        <w:ind w:firstLine="544"/>
        <w:jc w:val="both"/>
        <w:rPr>
          <w:rFonts w:hint="default" w:ascii="Cambria" w:hAnsi="Cambria"/>
        </w:rPr>
      </w:pPr>
      <w:r>
        <w:rPr>
          <w:rFonts w:ascii="Cambria" w:hAnsi="Cambria"/>
          <w:lang w:val="sv-SE"/>
        </w:rPr>
        <w:t xml:space="preserve">Dari tabel di atas terlihat bahwa kualifikasi pendidikan Pegawai Negeri Sipil di lingkungan </w:t>
      </w:r>
      <w:r>
        <w:rPr>
          <w:rFonts w:ascii="Cambria" w:hAnsi="Cambria" w:cs="Times New Roman"/>
        </w:rPr>
        <w:t>Biro Administrasi Pengadaan dan Pengelolaan Barang Milik Daerah</w:t>
      </w:r>
      <w:r>
        <w:rPr>
          <w:rFonts w:ascii="Cambria" w:hAnsi="Cambria"/>
          <w:color w:val="000000"/>
        </w:rPr>
        <w:t xml:space="preserve"> </w:t>
      </w:r>
      <w:r>
        <w:rPr>
          <w:rFonts w:ascii="Cambria" w:hAnsi="Cambria"/>
          <w:lang w:val="sv-SE"/>
        </w:rPr>
        <w:t xml:space="preserve">telah sesuai dengan formasi persyaratan atau </w:t>
      </w:r>
      <w:r>
        <w:rPr>
          <w:rFonts w:ascii="Cambria" w:hAnsi="Cambria"/>
        </w:rPr>
        <w:t xml:space="preserve">secara kuantitatif telah sesuai dengan </w:t>
      </w:r>
      <w:r>
        <w:rPr>
          <w:rFonts w:ascii="Cambria" w:hAnsi="Cambria"/>
          <w:lang w:val="sv-SE"/>
        </w:rPr>
        <w:t xml:space="preserve">tuntutan pekerjaan pada lingkungan </w:t>
      </w:r>
      <w:r>
        <w:rPr>
          <w:rFonts w:ascii="Cambria" w:hAnsi="Cambria" w:cs="Times New Roman"/>
        </w:rPr>
        <w:t>Biro Administrasi Pengadaan dan Pengelolaan Barang Milik Daerah</w:t>
      </w:r>
      <w:r>
        <w:rPr>
          <w:rFonts w:ascii="Cambria" w:hAnsi="Cambria"/>
          <w:color w:val="000000"/>
        </w:rPr>
        <w:t xml:space="preserve"> </w:t>
      </w:r>
      <w:r>
        <w:rPr>
          <w:rFonts w:ascii="Cambria" w:hAnsi="Cambria"/>
          <w:lang w:val="sv-SE"/>
        </w:rPr>
        <w:t>yaitu dari jumlah Pegawai Negeri Sipil sebanyak 5</w:t>
      </w:r>
      <w:r>
        <w:rPr>
          <w:rFonts w:hint="default" w:ascii="Cambria" w:hAnsi="Cambria"/>
        </w:rPr>
        <w:t>3</w:t>
      </w:r>
      <w:r>
        <w:rPr>
          <w:rFonts w:ascii="Cambria" w:hAnsi="Cambria"/>
          <w:lang w:val="sv-SE"/>
        </w:rPr>
        <w:t xml:space="preserve"> (lima puluh </w:t>
      </w:r>
      <w:r>
        <w:rPr>
          <w:rFonts w:hint="default" w:ascii="Cambria" w:hAnsi="Cambria"/>
        </w:rPr>
        <w:t>tiga</w:t>
      </w:r>
      <w:r>
        <w:rPr>
          <w:rFonts w:ascii="Cambria" w:hAnsi="Cambria"/>
          <w:lang w:val="sv-SE"/>
        </w:rPr>
        <w:t>) orang,</w:t>
      </w:r>
      <w:r>
        <w:rPr>
          <w:rFonts w:ascii="Cambria" w:hAnsi="Cambria"/>
        </w:rPr>
        <w:t xml:space="preserve"> dengan latar belakang </w:t>
      </w:r>
      <w:r>
        <w:rPr>
          <w:rFonts w:ascii="Cambria" w:hAnsi="Cambria"/>
          <w:lang w:val="sv-SE"/>
        </w:rPr>
        <w:t xml:space="preserve">pendidikan Strata </w:t>
      </w:r>
      <w:r>
        <w:rPr>
          <w:rFonts w:ascii="Cambria" w:hAnsi="Cambria"/>
        </w:rPr>
        <w:t>2</w:t>
      </w:r>
      <w:r>
        <w:rPr>
          <w:rFonts w:ascii="Cambria" w:hAnsi="Cambria"/>
          <w:lang w:val="sv-SE"/>
        </w:rPr>
        <w:t xml:space="preserve"> adalah sebanyak 1</w:t>
      </w:r>
      <w:r>
        <w:rPr>
          <w:rFonts w:hint="default" w:ascii="Cambria" w:hAnsi="Cambria"/>
        </w:rPr>
        <w:t>1</w:t>
      </w:r>
      <w:r>
        <w:rPr>
          <w:rFonts w:ascii="Cambria" w:hAnsi="Cambria"/>
          <w:lang w:val="sv-SE"/>
        </w:rPr>
        <w:t xml:space="preserve"> (</w:t>
      </w:r>
      <w:r>
        <w:rPr>
          <w:rFonts w:ascii="Cambria" w:hAnsi="Cambria"/>
        </w:rPr>
        <w:t>se</w:t>
      </w:r>
      <w:r>
        <w:rPr>
          <w:rFonts w:hint="default" w:ascii="Cambria" w:hAnsi="Cambria"/>
        </w:rPr>
        <w:t>belas</w:t>
      </w:r>
      <w:r>
        <w:rPr>
          <w:rFonts w:ascii="Cambria" w:hAnsi="Cambria"/>
          <w:lang w:val="sv-SE"/>
        </w:rPr>
        <w:t xml:space="preserve">) orang </w:t>
      </w:r>
      <w:r>
        <w:rPr>
          <w:rFonts w:ascii="Cambria" w:hAnsi="Cambria"/>
        </w:rPr>
        <w:t xml:space="preserve">atau sebesar </w:t>
      </w:r>
      <w:r>
        <w:rPr>
          <w:rFonts w:hint="default" w:ascii="Cambria" w:hAnsi="Cambria"/>
        </w:rPr>
        <w:t>20,75</w:t>
      </w:r>
      <w:r>
        <w:rPr>
          <w:rFonts w:ascii="Cambria" w:hAnsi="Cambria"/>
        </w:rPr>
        <w:t xml:space="preserve">% </w:t>
      </w:r>
      <w:r>
        <w:rPr>
          <w:rFonts w:ascii="Cambria" w:hAnsi="Cambria"/>
          <w:lang w:val="sv-SE"/>
        </w:rPr>
        <w:t xml:space="preserve">dan Strata 1 sebanyak </w:t>
      </w:r>
      <w:r>
        <w:rPr>
          <w:rFonts w:ascii="Cambria" w:hAnsi="Cambria"/>
        </w:rPr>
        <w:t>2</w:t>
      </w:r>
      <w:r>
        <w:rPr>
          <w:rFonts w:hint="default" w:ascii="Cambria" w:hAnsi="Cambria"/>
        </w:rPr>
        <w:t>4</w:t>
      </w:r>
      <w:r>
        <w:rPr>
          <w:rFonts w:ascii="Cambria" w:hAnsi="Cambria"/>
          <w:lang w:val="en-US"/>
        </w:rPr>
        <w:t xml:space="preserve"> (</w:t>
      </w:r>
      <w:r>
        <w:rPr>
          <w:rFonts w:ascii="Cambria" w:hAnsi="Cambria"/>
        </w:rPr>
        <w:t>du</w:t>
      </w:r>
      <w:r>
        <w:rPr>
          <w:rFonts w:ascii="Cambria" w:hAnsi="Cambria"/>
          <w:lang w:val="en-US"/>
        </w:rPr>
        <w:t xml:space="preserve">a puluh </w:t>
      </w:r>
      <w:r>
        <w:rPr>
          <w:rFonts w:hint="default" w:ascii="Cambria" w:hAnsi="Cambria"/>
        </w:rPr>
        <w:t>empat</w:t>
      </w:r>
      <w:r>
        <w:rPr>
          <w:rFonts w:ascii="Cambria" w:hAnsi="Cambria"/>
          <w:lang w:val="en-US"/>
        </w:rPr>
        <w:t>) orang</w:t>
      </w:r>
      <w:r>
        <w:rPr>
          <w:rFonts w:ascii="Cambria" w:hAnsi="Cambria"/>
        </w:rPr>
        <w:t>,</w:t>
      </w:r>
      <w:r>
        <w:rPr>
          <w:rFonts w:ascii="Cambria" w:hAnsi="Cambria"/>
          <w:lang w:val="en-US"/>
        </w:rPr>
        <w:t xml:space="preserve"> atau sebesar </w:t>
      </w:r>
      <w:r>
        <w:rPr>
          <w:rFonts w:hint="default" w:ascii="Cambria" w:hAnsi="Cambria"/>
        </w:rPr>
        <w:t>45,28%</w:t>
      </w:r>
      <w:r>
        <w:rPr>
          <w:rFonts w:ascii="Cambria" w:hAnsi="Cambria"/>
        </w:rPr>
        <w:t xml:space="preserve">, Diploma 3 sebanyak </w:t>
      </w:r>
      <w:r>
        <w:rPr>
          <w:rFonts w:hint="default" w:ascii="Cambria" w:hAnsi="Cambria"/>
        </w:rPr>
        <w:t>6</w:t>
      </w:r>
      <w:r>
        <w:rPr>
          <w:rFonts w:ascii="Cambria" w:hAnsi="Cambria"/>
        </w:rPr>
        <w:t xml:space="preserve"> orang atau sebesar </w:t>
      </w:r>
      <w:r>
        <w:rPr>
          <w:rFonts w:hint="default" w:ascii="Cambria" w:hAnsi="Cambria"/>
        </w:rPr>
        <w:t>11,32%</w:t>
      </w:r>
      <w:r>
        <w:rPr>
          <w:rFonts w:ascii="Cambria" w:hAnsi="Cambria"/>
        </w:rPr>
        <w:t>, SMA sebanyak 1</w:t>
      </w:r>
      <w:r>
        <w:rPr>
          <w:rFonts w:hint="default" w:ascii="Cambria" w:hAnsi="Cambria"/>
        </w:rPr>
        <w:t>3</w:t>
      </w:r>
      <w:r>
        <w:rPr>
          <w:rFonts w:ascii="Cambria" w:hAnsi="Cambria"/>
        </w:rPr>
        <w:t xml:space="preserve"> orang atau sebesar </w:t>
      </w:r>
      <w:r>
        <w:rPr>
          <w:rFonts w:hint="default" w:ascii="Cambria" w:hAnsi="Cambria"/>
        </w:rPr>
        <w:t>24,52%.</w:t>
      </w:r>
    </w:p>
    <w:p>
      <w:pPr>
        <w:spacing w:line="288" w:lineRule="auto"/>
        <w:ind w:firstLine="544"/>
        <w:jc w:val="center"/>
        <w:rPr>
          <w:lang w:val="en-US"/>
        </w:rPr>
      </w:pPr>
      <w:r>
        <w:rPr>
          <w:lang w:eastAsia="id-ID"/>
        </w:rPr>
        <w:drawing>
          <wp:inline distT="0" distB="0" distL="0" distR="0">
            <wp:extent cx="4772025" cy="1866900"/>
            <wp:effectExtent l="57150" t="19050" r="47625" b="95250"/>
            <wp:docPr id="16" name="Chart 5"/>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pPr>
        <w:spacing w:after="0"/>
        <w:jc w:val="center"/>
        <w:rPr>
          <w:rFonts w:ascii="Cambria" w:hAnsi="Cambria"/>
          <w:b/>
        </w:rPr>
      </w:pPr>
      <w:r>
        <w:rPr>
          <w:rFonts w:ascii="Cambria" w:hAnsi="Cambria"/>
          <w:b/>
        </w:rPr>
        <w:t>Grafik 2.1.</w:t>
      </w:r>
    </w:p>
    <w:p>
      <w:pPr>
        <w:spacing w:after="0" w:line="240" w:lineRule="auto"/>
        <w:jc w:val="center"/>
        <w:rPr>
          <w:rFonts w:hint="default" w:ascii="Cambria" w:hAnsi="Cambria"/>
          <w:b/>
        </w:rPr>
      </w:pPr>
      <w:r>
        <w:rPr>
          <w:rFonts w:ascii="Cambria" w:hAnsi="Cambria"/>
          <w:b/>
        </w:rPr>
        <w:t xml:space="preserve">Persentase Pegawai </w:t>
      </w:r>
      <w:r>
        <w:rPr>
          <w:rFonts w:ascii="Cambria" w:hAnsi="Cambria" w:cs="Times New Roman"/>
          <w:b/>
        </w:rPr>
        <w:t xml:space="preserve">Biro Administrasi Pengadaan dan Pengelolaan Barang Milik Daerah </w:t>
      </w:r>
      <w:r>
        <w:rPr>
          <w:rFonts w:ascii="Cambria" w:hAnsi="Cambria"/>
          <w:b/>
        </w:rPr>
        <w:t>Menurut Jenjang Pendidikan Tahun 201</w:t>
      </w:r>
      <w:r>
        <w:rPr>
          <w:rFonts w:hint="default" w:ascii="Cambria" w:hAnsi="Cambria"/>
          <w:b/>
        </w:rPr>
        <w:t>9</w:t>
      </w:r>
    </w:p>
    <w:p>
      <w:pPr>
        <w:spacing w:after="0" w:line="276" w:lineRule="auto"/>
        <w:jc w:val="center"/>
        <w:rPr>
          <w:rFonts w:ascii="Cambria" w:hAnsi="Cambria"/>
          <w:b/>
        </w:rPr>
      </w:pPr>
    </w:p>
    <w:p>
      <w:pPr>
        <w:spacing w:line="276" w:lineRule="auto"/>
        <w:ind w:firstLine="544"/>
        <w:jc w:val="both"/>
        <w:rPr>
          <w:rFonts w:ascii="Cambria" w:hAnsi="Cambria"/>
        </w:rPr>
      </w:pPr>
      <w:r>
        <w:rPr>
          <w:rFonts w:ascii="Cambria" w:hAnsi="Cambria"/>
          <w:lang w:val="sv-SE"/>
        </w:rPr>
        <w:t xml:space="preserve">Ditinjau dari golongannya, komposisi Pegawai Negeri Sipil di lingkungan </w:t>
      </w:r>
      <w:r>
        <w:rPr>
          <w:rFonts w:ascii="Cambria" w:hAnsi="Cambria" w:cs="Times New Roman"/>
        </w:rPr>
        <w:t>Biro Administrasi Pengadaan dan Pengelolaan Barang Milik Daerah</w:t>
      </w:r>
      <w:r>
        <w:rPr>
          <w:rFonts w:ascii="Cambria" w:hAnsi="Cambria"/>
          <w:lang w:val="sv-SE"/>
        </w:rPr>
        <w:t>, yang terbanyak adalah Golongan III, dengan rincian komposisi per golongan adalah sebagai berikut:</w:t>
      </w:r>
    </w:p>
    <w:p>
      <w:pPr>
        <w:tabs>
          <w:tab w:val="left" w:pos="284"/>
        </w:tabs>
        <w:spacing w:after="0" w:line="276" w:lineRule="auto"/>
        <w:jc w:val="both"/>
        <w:rPr>
          <w:rFonts w:hint="default" w:ascii="Cambria" w:hAnsi="Cambria"/>
        </w:rPr>
      </w:pPr>
      <w:r>
        <w:rPr>
          <w:rFonts w:ascii="Cambria" w:hAnsi="Cambria"/>
          <w:lang w:val="sv-SE"/>
        </w:rPr>
        <w:t>- Golongan I</w:t>
      </w:r>
      <w:r>
        <w:rPr>
          <w:rFonts w:ascii="Cambria" w:hAnsi="Cambria"/>
          <w:lang w:val="sv-SE"/>
        </w:rPr>
        <w:tab/>
      </w:r>
      <w:r>
        <w:rPr>
          <w:rFonts w:ascii="Cambria" w:hAnsi="Cambria"/>
          <w:lang w:val="sv-SE"/>
        </w:rPr>
        <w:t xml:space="preserve">=    </w:t>
      </w:r>
      <w:r>
        <w:rPr>
          <w:rFonts w:hint="default" w:ascii="Cambria" w:hAnsi="Cambria"/>
        </w:rPr>
        <w:t xml:space="preserve">- </w:t>
      </w:r>
    </w:p>
    <w:p>
      <w:pPr>
        <w:tabs>
          <w:tab w:val="left" w:pos="284"/>
        </w:tabs>
        <w:spacing w:after="0" w:line="276" w:lineRule="auto"/>
        <w:ind w:left="4" w:hanging="2"/>
        <w:jc w:val="both"/>
        <w:rPr>
          <w:rFonts w:ascii="Cambria" w:hAnsi="Cambria"/>
        </w:rPr>
      </w:pPr>
      <w:r>
        <w:rPr>
          <w:rFonts w:ascii="Cambria" w:hAnsi="Cambria"/>
          <w:lang w:val="sv-SE"/>
        </w:rPr>
        <w:t>- Golongan II</w:t>
      </w:r>
      <w:r>
        <w:rPr>
          <w:rFonts w:ascii="Cambria" w:hAnsi="Cambria"/>
          <w:lang w:val="sv-SE"/>
        </w:rPr>
        <w:tab/>
      </w:r>
      <w:r>
        <w:rPr>
          <w:rFonts w:ascii="Cambria" w:hAnsi="Cambria"/>
          <w:lang w:val="sv-SE"/>
        </w:rPr>
        <w:t xml:space="preserve">=   </w:t>
      </w:r>
      <w:r>
        <w:rPr>
          <w:rFonts w:hint="default" w:ascii="Cambria" w:hAnsi="Cambria"/>
        </w:rPr>
        <w:t>9</w:t>
      </w:r>
      <w:r>
        <w:rPr>
          <w:rFonts w:ascii="Cambria" w:hAnsi="Cambria"/>
          <w:lang w:val="sv-SE"/>
        </w:rPr>
        <w:t xml:space="preserve"> Orang</w:t>
      </w:r>
      <w:r>
        <w:rPr>
          <w:rFonts w:ascii="Cambria" w:hAnsi="Cambria"/>
        </w:rPr>
        <w:t xml:space="preserve"> (</w:t>
      </w:r>
      <w:r>
        <w:rPr>
          <w:rFonts w:hint="default" w:ascii="Cambria" w:hAnsi="Cambria"/>
        </w:rPr>
        <w:t>16,98%</w:t>
      </w:r>
      <w:r>
        <w:rPr>
          <w:rFonts w:ascii="Cambria" w:hAnsi="Cambria"/>
        </w:rPr>
        <w:t>)</w:t>
      </w:r>
    </w:p>
    <w:p>
      <w:pPr>
        <w:tabs>
          <w:tab w:val="left" w:pos="284"/>
        </w:tabs>
        <w:spacing w:after="0" w:line="276" w:lineRule="auto"/>
        <w:ind w:left="4" w:hanging="2"/>
        <w:jc w:val="both"/>
        <w:rPr>
          <w:rFonts w:ascii="Cambria" w:hAnsi="Cambria"/>
        </w:rPr>
      </w:pPr>
      <w:r>
        <w:rPr>
          <w:rFonts w:ascii="Cambria" w:hAnsi="Cambria"/>
          <w:lang w:val="sv-SE"/>
        </w:rPr>
        <w:t>- Golongan III</w:t>
      </w:r>
      <w:r>
        <w:rPr>
          <w:rFonts w:ascii="Cambria" w:hAnsi="Cambria"/>
          <w:lang w:val="sv-SE"/>
        </w:rPr>
        <w:tab/>
      </w:r>
      <w:r>
        <w:rPr>
          <w:rFonts w:ascii="Cambria" w:hAnsi="Cambria"/>
          <w:lang w:val="sv-SE"/>
        </w:rPr>
        <w:t xml:space="preserve">=   </w:t>
      </w:r>
      <w:r>
        <w:rPr>
          <w:rFonts w:ascii="Cambria" w:hAnsi="Cambria"/>
          <w:lang w:val="en-US"/>
        </w:rPr>
        <w:t>3</w:t>
      </w:r>
      <w:r>
        <w:rPr>
          <w:rFonts w:hint="default" w:ascii="Cambria" w:hAnsi="Cambria"/>
        </w:rPr>
        <w:t>8</w:t>
      </w:r>
      <w:r>
        <w:rPr>
          <w:rFonts w:ascii="Cambria" w:hAnsi="Cambria"/>
          <w:lang w:val="sv-SE"/>
        </w:rPr>
        <w:t xml:space="preserve"> Orang</w:t>
      </w:r>
      <w:r>
        <w:rPr>
          <w:rFonts w:ascii="Cambria" w:hAnsi="Cambria"/>
        </w:rPr>
        <w:t xml:space="preserve"> (</w:t>
      </w:r>
      <w:r>
        <w:rPr>
          <w:rFonts w:hint="default" w:ascii="Cambria" w:hAnsi="Cambria"/>
        </w:rPr>
        <w:t>71,69</w:t>
      </w:r>
      <w:r>
        <w:rPr>
          <w:rFonts w:ascii="Cambria" w:hAnsi="Cambria"/>
        </w:rPr>
        <w:t>%)</w:t>
      </w:r>
    </w:p>
    <w:p>
      <w:pPr>
        <w:tabs>
          <w:tab w:val="left" w:pos="284"/>
        </w:tabs>
        <w:spacing w:after="0" w:line="276" w:lineRule="auto"/>
        <w:ind w:left="4" w:hanging="2"/>
        <w:jc w:val="both"/>
        <w:rPr>
          <w:rFonts w:ascii="Cambria" w:hAnsi="Cambria"/>
          <w:sz w:val="23"/>
          <w:szCs w:val="23"/>
        </w:rPr>
      </w:pPr>
      <w:r>
        <w:rPr>
          <w:rFonts w:ascii="Cambria" w:hAnsi="Cambria"/>
          <w:lang w:val="sv-SE"/>
        </w:rPr>
        <w:t>- Golongan IV</w:t>
      </w:r>
      <w:r>
        <w:rPr>
          <w:rFonts w:ascii="Cambria" w:hAnsi="Cambria"/>
          <w:lang w:val="sv-SE"/>
        </w:rPr>
        <w:tab/>
      </w:r>
      <w:r>
        <w:rPr>
          <w:rFonts w:ascii="Cambria" w:hAnsi="Cambria"/>
          <w:lang w:val="sv-SE"/>
        </w:rPr>
        <w:t>=   6 Orang</w:t>
      </w:r>
      <w:r>
        <w:rPr>
          <w:rFonts w:ascii="Cambria" w:hAnsi="Cambria"/>
          <w:sz w:val="23"/>
          <w:szCs w:val="23"/>
          <w:lang w:val="sv-SE"/>
        </w:rPr>
        <w:t xml:space="preserve"> (</w:t>
      </w:r>
      <w:r>
        <w:rPr>
          <w:rFonts w:hint="default" w:ascii="Cambria" w:hAnsi="Cambria"/>
          <w:sz w:val="23"/>
          <w:szCs w:val="23"/>
        </w:rPr>
        <w:t>11,32%</w:t>
      </w:r>
      <w:r>
        <w:rPr>
          <w:rFonts w:ascii="Cambria" w:hAnsi="Cambria"/>
          <w:sz w:val="23"/>
          <w:szCs w:val="23"/>
          <w:lang w:val="sv-SE"/>
        </w:rPr>
        <w:t>)</w:t>
      </w:r>
    </w:p>
    <w:p>
      <w:pPr>
        <w:tabs>
          <w:tab w:val="left" w:pos="284"/>
        </w:tabs>
        <w:spacing w:after="0" w:line="276" w:lineRule="auto"/>
        <w:ind w:left="4" w:hanging="2"/>
        <w:jc w:val="both"/>
        <w:rPr>
          <w:rFonts w:ascii="Cambria" w:hAnsi="Cambria"/>
          <w:sz w:val="23"/>
          <w:szCs w:val="23"/>
          <w:lang w:val="sv-SE"/>
        </w:rPr>
      </w:pPr>
    </w:p>
    <w:p>
      <w:pPr>
        <w:tabs>
          <w:tab w:val="left" w:pos="3060"/>
        </w:tabs>
        <w:spacing w:line="288" w:lineRule="auto"/>
        <w:ind w:left="450" w:hanging="2"/>
        <w:jc w:val="center"/>
        <w:rPr>
          <w:sz w:val="23"/>
          <w:szCs w:val="23"/>
          <w:lang w:val="en-US"/>
        </w:rPr>
      </w:pPr>
      <w:r>
        <w:rPr>
          <w:sz w:val="23"/>
          <w:szCs w:val="23"/>
          <w:lang w:eastAsia="id-ID"/>
        </w:rPr>
        <w:drawing>
          <wp:inline distT="0" distB="0" distL="0" distR="0">
            <wp:extent cx="3067050" cy="1676400"/>
            <wp:effectExtent l="57150" t="0" r="57150" b="114300"/>
            <wp:docPr id="14" name="Chart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pPr>
        <w:spacing w:after="0"/>
        <w:jc w:val="center"/>
        <w:rPr>
          <w:b/>
          <w:sz w:val="23"/>
          <w:szCs w:val="23"/>
        </w:rPr>
      </w:pPr>
      <w:r>
        <w:rPr>
          <w:b/>
          <w:sz w:val="23"/>
          <w:szCs w:val="23"/>
        </w:rPr>
        <w:t>Grafik 2.2</w:t>
      </w:r>
    </w:p>
    <w:p>
      <w:pPr>
        <w:spacing w:after="0" w:line="240" w:lineRule="auto"/>
        <w:jc w:val="center"/>
        <w:rPr>
          <w:rFonts w:ascii="Cambria" w:hAnsi="Cambria"/>
          <w:b/>
        </w:rPr>
      </w:pPr>
      <w:r>
        <w:rPr>
          <w:rFonts w:ascii="Cambria" w:hAnsi="Cambria"/>
          <w:b/>
        </w:rPr>
        <w:t xml:space="preserve">Persentase </w:t>
      </w:r>
      <w:r>
        <w:rPr>
          <w:rFonts w:ascii="Cambria" w:hAnsi="Cambria" w:cs="Times New Roman"/>
          <w:b/>
        </w:rPr>
        <w:t>Biro Administrasi Pengadaan dan Pengelolaan Barang Milik Daerah</w:t>
      </w:r>
    </w:p>
    <w:p>
      <w:pPr>
        <w:spacing w:after="0" w:line="240" w:lineRule="auto"/>
        <w:jc w:val="center"/>
        <w:rPr>
          <w:rFonts w:hint="default" w:ascii="Cambria" w:hAnsi="Cambria"/>
          <w:b/>
        </w:rPr>
      </w:pPr>
      <w:r>
        <w:rPr>
          <w:rFonts w:ascii="Cambria" w:hAnsi="Cambria"/>
          <w:b/>
        </w:rPr>
        <w:t>Menurut Golongan Tahun 201</w:t>
      </w:r>
      <w:r>
        <w:rPr>
          <w:rFonts w:hint="default" w:ascii="Cambria" w:hAnsi="Cambria"/>
          <w:b/>
        </w:rPr>
        <w:t>9</w:t>
      </w:r>
    </w:p>
    <w:p>
      <w:pPr>
        <w:tabs>
          <w:tab w:val="left" w:pos="3060"/>
        </w:tabs>
        <w:spacing w:before="120" w:line="288" w:lineRule="auto"/>
        <w:ind w:firstLine="567"/>
        <w:jc w:val="both"/>
        <w:rPr>
          <w:rFonts w:ascii="Cambria" w:hAnsi="Cambria"/>
        </w:rPr>
      </w:pPr>
    </w:p>
    <w:p>
      <w:pPr>
        <w:tabs>
          <w:tab w:val="left" w:pos="3060"/>
        </w:tabs>
        <w:spacing w:before="120" w:line="288" w:lineRule="auto"/>
        <w:ind w:firstLine="567"/>
        <w:jc w:val="both"/>
        <w:rPr>
          <w:rFonts w:ascii="Cambria" w:hAnsi="Cambria"/>
          <w:lang w:val="en-US"/>
        </w:rPr>
      </w:pPr>
      <w:r>
        <w:rPr>
          <w:rFonts w:ascii="Cambria" w:hAnsi="Cambria"/>
        </w:rPr>
        <w:t xml:space="preserve">Sedangkan komposisi pegawai khususnya Tenaga Fungsional berdasarkan jenjang kepangkatan, latar belakang pendidikan, tingkatan dan keahlian yang dimiliki </w:t>
      </w:r>
      <w:r>
        <w:rPr>
          <w:rFonts w:ascii="Cambria" w:hAnsi="Cambria" w:cs="Times New Roman"/>
        </w:rPr>
        <w:t>Biro Administrasi Pengadaan dan Pengelolaan Barang Milik Daerah</w:t>
      </w:r>
      <w:r>
        <w:rPr>
          <w:rFonts w:ascii="Cambria" w:hAnsi="Cambria"/>
        </w:rPr>
        <w:t xml:space="preserve"> dapat dijelaskan sebagai berikut :</w:t>
      </w:r>
    </w:p>
    <w:p>
      <w:pPr>
        <w:spacing w:after="0" w:line="240" w:lineRule="auto"/>
        <w:jc w:val="center"/>
        <w:rPr>
          <w:rFonts w:ascii="Cambria" w:hAnsi="Cambria"/>
          <w:b/>
        </w:rPr>
      </w:pPr>
      <w:r>
        <w:rPr>
          <w:rFonts w:ascii="Cambria" w:hAnsi="Cambria"/>
          <w:b/>
        </w:rPr>
        <w:t>Tabel 2.3</w:t>
      </w:r>
    </w:p>
    <w:p>
      <w:pPr>
        <w:spacing w:after="0" w:line="240" w:lineRule="auto"/>
        <w:jc w:val="center"/>
        <w:rPr>
          <w:rFonts w:ascii="Cambria" w:hAnsi="Cambria"/>
          <w:b/>
        </w:rPr>
      </w:pPr>
      <w:r>
        <w:rPr>
          <w:rFonts w:ascii="Cambria" w:hAnsi="Cambria"/>
          <w:b/>
        </w:rPr>
        <w:t>Komposisi Tenaga Fungsional</w:t>
      </w:r>
    </w:p>
    <w:p>
      <w:pPr>
        <w:spacing w:after="120"/>
        <w:jc w:val="center"/>
        <w:rPr>
          <w:b/>
          <w:sz w:val="23"/>
          <w:szCs w:val="23"/>
        </w:rPr>
      </w:pPr>
    </w:p>
    <w:tbl>
      <w:tblPr>
        <w:tblStyle w:val="8"/>
        <w:tblW w:w="7882" w:type="dxa"/>
        <w:tblInd w:w="108"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590"/>
        <w:gridCol w:w="2529"/>
        <w:gridCol w:w="1871"/>
        <w:gridCol w:w="1482"/>
        <w:gridCol w:w="1410"/>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590" w:type="dxa"/>
            <w:shd w:val="clear" w:color="auto" w:fill="F65688"/>
            <w:vAlign w:val="center"/>
          </w:tcPr>
          <w:p>
            <w:pPr>
              <w:spacing w:before="60" w:after="60" w:line="240" w:lineRule="auto"/>
              <w:jc w:val="center"/>
              <w:rPr>
                <w:rFonts w:ascii="Cambria" w:hAnsi="Cambria"/>
                <w:b/>
              </w:rPr>
            </w:pPr>
            <w:r>
              <w:rPr>
                <w:rFonts w:ascii="Cambria" w:hAnsi="Cambria"/>
                <w:b/>
              </w:rPr>
              <w:t>No.</w:t>
            </w:r>
          </w:p>
        </w:tc>
        <w:tc>
          <w:tcPr>
            <w:tcW w:w="2529" w:type="dxa"/>
            <w:shd w:val="clear" w:color="auto" w:fill="F65688"/>
            <w:vAlign w:val="center"/>
          </w:tcPr>
          <w:p>
            <w:pPr>
              <w:spacing w:before="60" w:after="60" w:line="240" w:lineRule="auto"/>
              <w:jc w:val="center"/>
              <w:rPr>
                <w:rFonts w:ascii="Cambria" w:hAnsi="Cambria"/>
                <w:b/>
              </w:rPr>
            </w:pPr>
            <w:r>
              <w:rPr>
                <w:rFonts w:ascii="Cambria" w:hAnsi="Cambria"/>
                <w:b/>
              </w:rPr>
              <w:t>Jenjang Jabatan</w:t>
            </w:r>
          </w:p>
        </w:tc>
        <w:tc>
          <w:tcPr>
            <w:tcW w:w="1871" w:type="dxa"/>
            <w:shd w:val="clear" w:color="auto" w:fill="F65688"/>
            <w:vAlign w:val="center"/>
          </w:tcPr>
          <w:p>
            <w:pPr>
              <w:spacing w:before="60" w:after="60" w:line="240" w:lineRule="auto"/>
              <w:jc w:val="center"/>
              <w:rPr>
                <w:rFonts w:ascii="Cambria" w:hAnsi="Cambria"/>
                <w:b/>
              </w:rPr>
            </w:pPr>
            <w:r>
              <w:rPr>
                <w:rFonts w:ascii="Cambria" w:hAnsi="Cambria"/>
                <w:b/>
              </w:rPr>
              <w:t>Jenis Keahlian</w:t>
            </w:r>
          </w:p>
        </w:tc>
        <w:tc>
          <w:tcPr>
            <w:tcW w:w="1482" w:type="dxa"/>
            <w:shd w:val="clear" w:color="auto" w:fill="F65688"/>
            <w:vAlign w:val="center"/>
          </w:tcPr>
          <w:p>
            <w:pPr>
              <w:spacing w:before="60" w:after="60" w:line="240" w:lineRule="auto"/>
              <w:jc w:val="center"/>
              <w:rPr>
                <w:rFonts w:ascii="Cambria" w:hAnsi="Cambria"/>
                <w:b/>
              </w:rPr>
            </w:pPr>
            <w:r>
              <w:rPr>
                <w:rFonts w:ascii="Cambria" w:hAnsi="Cambria"/>
                <w:b/>
              </w:rPr>
              <w:t>Pendidikan Terakhir</w:t>
            </w:r>
          </w:p>
        </w:tc>
        <w:tc>
          <w:tcPr>
            <w:tcW w:w="1410" w:type="dxa"/>
            <w:shd w:val="clear" w:color="auto" w:fill="F65688"/>
            <w:vAlign w:val="center"/>
          </w:tcPr>
          <w:p>
            <w:pPr>
              <w:spacing w:before="60" w:after="60" w:line="240" w:lineRule="auto"/>
              <w:jc w:val="center"/>
              <w:rPr>
                <w:rFonts w:ascii="Cambria" w:hAnsi="Cambria"/>
                <w:b/>
              </w:rPr>
            </w:pPr>
            <w:r>
              <w:rPr>
                <w:rFonts w:ascii="Cambria" w:hAnsi="Cambria"/>
                <w:b/>
              </w:rPr>
              <w:t>Jumlah</w:t>
            </w:r>
          </w:p>
          <w:p>
            <w:pPr>
              <w:spacing w:before="60" w:after="60" w:line="240" w:lineRule="auto"/>
              <w:jc w:val="center"/>
              <w:rPr>
                <w:rFonts w:ascii="Cambria" w:hAnsi="Cambria"/>
                <w:b/>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590" w:type="dxa"/>
            <w:shd w:val="clear" w:color="auto" w:fill="F6BCD9"/>
            <w:vAlign w:val="center"/>
          </w:tcPr>
          <w:p>
            <w:pPr>
              <w:spacing w:before="60" w:after="60" w:line="240" w:lineRule="auto"/>
              <w:jc w:val="both"/>
              <w:rPr>
                <w:rFonts w:ascii="Cambria" w:hAnsi="Cambria"/>
                <w:b/>
              </w:rPr>
            </w:pPr>
          </w:p>
        </w:tc>
        <w:tc>
          <w:tcPr>
            <w:tcW w:w="2529" w:type="dxa"/>
            <w:shd w:val="clear" w:color="auto" w:fill="F6BCD9"/>
            <w:vAlign w:val="center"/>
          </w:tcPr>
          <w:p>
            <w:pPr>
              <w:spacing w:before="60" w:after="60" w:line="240" w:lineRule="auto"/>
              <w:jc w:val="both"/>
              <w:rPr>
                <w:rFonts w:ascii="Cambria" w:hAnsi="Cambria"/>
                <w:b/>
              </w:rPr>
            </w:pPr>
            <w:r>
              <w:rPr>
                <w:rFonts w:ascii="Cambria" w:hAnsi="Cambria"/>
                <w:b/>
              </w:rPr>
              <w:t>Fungsional Umum</w:t>
            </w:r>
          </w:p>
        </w:tc>
        <w:tc>
          <w:tcPr>
            <w:tcW w:w="1871" w:type="dxa"/>
            <w:shd w:val="clear" w:color="auto" w:fill="F6BCD9"/>
            <w:vAlign w:val="center"/>
          </w:tcPr>
          <w:p>
            <w:pPr>
              <w:spacing w:before="60" w:after="60" w:line="240" w:lineRule="auto"/>
              <w:jc w:val="both"/>
              <w:rPr>
                <w:rFonts w:ascii="Cambria" w:hAnsi="Cambria"/>
                <w:b/>
              </w:rPr>
            </w:pPr>
          </w:p>
        </w:tc>
        <w:tc>
          <w:tcPr>
            <w:tcW w:w="1482" w:type="dxa"/>
            <w:shd w:val="clear" w:color="auto" w:fill="F6BCD9"/>
            <w:vAlign w:val="center"/>
          </w:tcPr>
          <w:p>
            <w:pPr>
              <w:spacing w:before="60" w:after="60" w:line="240" w:lineRule="auto"/>
              <w:jc w:val="both"/>
              <w:rPr>
                <w:rFonts w:ascii="Cambria" w:hAnsi="Cambria"/>
                <w:b/>
              </w:rPr>
            </w:pPr>
          </w:p>
        </w:tc>
        <w:tc>
          <w:tcPr>
            <w:tcW w:w="1410" w:type="dxa"/>
            <w:shd w:val="clear" w:color="auto" w:fill="F6BCD9"/>
            <w:vAlign w:val="center"/>
          </w:tcPr>
          <w:p>
            <w:pPr>
              <w:spacing w:before="60" w:after="60" w:line="240" w:lineRule="auto"/>
              <w:jc w:val="center"/>
              <w:rPr>
                <w:rFonts w:ascii="Cambria" w:hAnsi="Cambria"/>
                <w:b/>
                <w:lang w:val="en-US"/>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590" w:type="dxa"/>
          </w:tcPr>
          <w:p>
            <w:pPr>
              <w:spacing w:before="60" w:after="60" w:line="240" w:lineRule="auto"/>
              <w:jc w:val="center"/>
              <w:rPr>
                <w:rFonts w:ascii="Cambria" w:hAnsi="Cambria"/>
              </w:rPr>
            </w:pPr>
            <w:r>
              <w:rPr>
                <w:rFonts w:ascii="Cambria" w:hAnsi="Cambria"/>
              </w:rPr>
              <w:t>1.</w:t>
            </w:r>
          </w:p>
        </w:tc>
        <w:tc>
          <w:tcPr>
            <w:tcW w:w="2529" w:type="dxa"/>
          </w:tcPr>
          <w:p>
            <w:pPr>
              <w:spacing w:before="60" w:after="60" w:line="240" w:lineRule="auto"/>
              <w:jc w:val="left"/>
              <w:rPr>
                <w:rFonts w:hint="default" w:ascii="Cambria" w:hAnsi="Cambria"/>
              </w:rPr>
            </w:pPr>
            <w:r>
              <w:rPr>
                <w:rFonts w:ascii="Cambria" w:hAnsi="Cambria"/>
              </w:rPr>
              <w:t>Pengelola Pengadaan Barang / Jasa M</w:t>
            </w:r>
            <w:r>
              <w:rPr>
                <w:rFonts w:hint="default" w:ascii="Cambria" w:hAnsi="Cambria"/>
              </w:rPr>
              <w:t>adya</w:t>
            </w:r>
          </w:p>
        </w:tc>
        <w:tc>
          <w:tcPr>
            <w:tcW w:w="1871" w:type="dxa"/>
            <w:vAlign w:val="center"/>
          </w:tcPr>
          <w:p>
            <w:pPr>
              <w:spacing w:before="60" w:after="60" w:line="240" w:lineRule="auto"/>
              <w:jc w:val="center"/>
              <w:rPr>
                <w:rFonts w:ascii="Cambria" w:hAnsi="Cambria"/>
              </w:rPr>
            </w:pPr>
            <w:r>
              <w:rPr>
                <w:rFonts w:ascii="Cambria" w:hAnsi="Cambria"/>
              </w:rPr>
              <w:t xml:space="preserve">Pengadaan Barang / Jasa </w:t>
            </w:r>
          </w:p>
        </w:tc>
        <w:tc>
          <w:tcPr>
            <w:tcW w:w="1482" w:type="dxa"/>
            <w:vAlign w:val="center"/>
          </w:tcPr>
          <w:p>
            <w:pPr>
              <w:spacing w:after="0" w:line="240" w:lineRule="auto"/>
              <w:jc w:val="center"/>
              <w:rPr>
                <w:rFonts w:ascii="Cambria" w:hAnsi="Cambria" w:eastAsia="Times New Roman"/>
                <w:sz w:val="20"/>
                <w:szCs w:val="20"/>
              </w:rPr>
            </w:pPr>
            <w:r>
              <w:rPr>
                <w:rFonts w:ascii="Cambria" w:hAnsi="Cambria" w:eastAsia="Times New Roman"/>
                <w:sz w:val="20"/>
                <w:szCs w:val="20"/>
              </w:rPr>
              <w:t>Strata 2</w:t>
            </w:r>
          </w:p>
        </w:tc>
        <w:tc>
          <w:tcPr>
            <w:tcW w:w="1410" w:type="dxa"/>
            <w:vAlign w:val="center"/>
          </w:tcPr>
          <w:p>
            <w:pPr>
              <w:spacing w:after="0" w:line="240" w:lineRule="auto"/>
              <w:jc w:val="center"/>
              <w:rPr>
                <w:rFonts w:ascii="Cambria" w:hAnsi="Cambria" w:eastAsia="Times New Roman"/>
                <w:sz w:val="20"/>
                <w:szCs w:val="20"/>
              </w:rPr>
            </w:pPr>
            <w:r>
              <w:rPr>
                <w:rFonts w:ascii="Cambria" w:hAnsi="Cambria" w:eastAsia="Times New Roman"/>
                <w:sz w:val="20"/>
                <w:szCs w:val="20"/>
              </w:rPr>
              <w:t>1</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590" w:type="dxa"/>
          </w:tcPr>
          <w:p>
            <w:pPr>
              <w:spacing w:before="60" w:after="60" w:line="240" w:lineRule="auto"/>
              <w:jc w:val="center"/>
              <w:rPr>
                <w:rFonts w:hint="default" w:ascii="Cambria" w:hAnsi="Cambria"/>
              </w:rPr>
            </w:pPr>
            <w:r>
              <w:rPr>
                <w:rFonts w:hint="default" w:ascii="Cambria" w:hAnsi="Cambria"/>
              </w:rPr>
              <w:t>2.</w:t>
            </w:r>
          </w:p>
        </w:tc>
        <w:tc>
          <w:tcPr>
            <w:tcW w:w="2529" w:type="dxa"/>
            <w:vAlign w:val="top"/>
          </w:tcPr>
          <w:p>
            <w:pPr>
              <w:spacing w:before="60" w:after="60" w:line="240" w:lineRule="auto"/>
              <w:jc w:val="left"/>
              <w:rPr>
                <w:rFonts w:ascii="Cambria" w:hAnsi="Cambria"/>
              </w:rPr>
            </w:pPr>
            <w:r>
              <w:rPr>
                <w:rFonts w:ascii="Cambria" w:hAnsi="Cambria"/>
              </w:rPr>
              <w:t>Pengelola Pengadaan Barang / Jasa Muda</w:t>
            </w:r>
          </w:p>
        </w:tc>
        <w:tc>
          <w:tcPr>
            <w:tcW w:w="1871" w:type="dxa"/>
            <w:vAlign w:val="center"/>
          </w:tcPr>
          <w:p>
            <w:pPr>
              <w:spacing w:before="60" w:after="60" w:line="240" w:lineRule="auto"/>
              <w:jc w:val="center"/>
              <w:rPr>
                <w:rFonts w:ascii="Cambria" w:hAnsi="Cambria"/>
              </w:rPr>
            </w:pPr>
            <w:r>
              <w:rPr>
                <w:rFonts w:ascii="Cambria" w:hAnsi="Cambria"/>
              </w:rPr>
              <w:t xml:space="preserve">Pengadaan Barang / Jasa </w:t>
            </w:r>
          </w:p>
        </w:tc>
        <w:tc>
          <w:tcPr>
            <w:tcW w:w="1482" w:type="dxa"/>
            <w:vAlign w:val="center"/>
          </w:tcPr>
          <w:p>
            <w:pPr>
              <w:spacing w:after="0" w:line="240" w:lineRule="auto"/>
              <w:jc w:val="center"/>
              <w:rPr>
                <w:rFonts w:ascii="Cambria" w:hAnsi="Cambria" w:eastAsia="Times New Roman"/>
                <w:sz w:val="20"/>
                <w:szCs w:val="20"/>
              </w:rPr>
            </w:pPr>
            <w:r>
              <w:rPr>
                <w:rFonts w:ascii="Cambria" w:hAnsi="Cambria" w:eastAsia="Times New Roman"/>
                <w:sz w:val="20"/>
                <w:szCs w:val="20"/>
              </w:rPr>
              <w:t>Strata 2</w:t>
            </w:r>
          </w:p>
        </w:tc>
        <w:tc>
          <w:tcPr>
            <w:tcW w:w="1410" w:type="dxa"/>
            <w:vAlign w:val="center"/>
          </w:tcPr>
          <w:p>
            <w:pPr>
              <w:spacing w:after="0" w:line="240" w:lineRule="auto"/>
              <w:jc w:val="center"/>
              <w:rPr>
                <w:rFonts w:ascii="Cambria" w:hAnsi="Cambria" w:eastAsia="Times New Roman"/>
                <w:sz w:val="20"/>
                <w:szCs w:val="20"/>
              </w:rPr>
            </w:pPr>
            <w:r>
              <w:rPr>
                <w:rFonts w:ascii="Cambria" w:hAnsi="Cambria" w:eastAsia="Times New Roman"/>
                <w:sz w:val="20"/>
                <w:szCs w:val="20"/>
              </w:rPr>
              <w:t>1</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590" w:type="dxa"/>
            <w:vAlign w:val="top"/>
          </w:tcPr>
          <w:p>
            <w:pPr>
              <w:spacing w:before="60" w:after="60" w:line="240" w:lineRule="auto"/>
              <w:jc w:val="center"/>
              <w:rPr>
                <w:rFonts w:hint="default" w:ascii="Cambria" w:hAnsi="Cambria"/>
              </w:rPr>
            </w:pPr>
            <w:r>
              <w:rPr>
                <w:rFonts w:hint="default" w:ascii="Cambria" w:hAnsi="Cambria"/>
              </w:rPr>
              <w:t>3.</w:t>
            </w:r>
          </w:p>
        </w:tc>
        <w:tc>
          <w:tcPr>
            <w:tcW w:w="2529" w:type="dxa"/>
            <w:vAlign w:val="top"/>
          </w:tcPr>
          <w:p>
            <w:pPr>
              <w:spacing w:before="60" w:after="60" w:line="240" w:lineRule="auto"/>
              <w:jc w:val="left"/>
              <w:rPr>
                <w:rFonts w:ascii="Cambria" w:hAnsi="Cambria"/>
              </w:rPr>
            </w:pPr>
            <w:r>
              <w:rPr>
                <w:rFonts w:ascii="Cambria" w:hAnsi="Cambria"/>
              </w:rPr>
              <w:t>Pengelola Pengadaan Barang / Jasa Muda</w:t>
            </w:r>
          </w:p>
        </w:tc>
        <w:tc>
          <w:tcPr>
            <w:tcW w:w="1871" w:type="dxa"/>
            <w:vAlign w:val="center"/>
          </w:tcPr>
          <w:p>
            <w:pPr>
              <w:spacing w:before="60" w:after="60" w:line="240" w:lineRule="auto"/>
              <w:jc w:val="center"/>
              <w:rPr>
                <w:rFonts w:ascii="Cambria" w:hAnsi="Cambria"/>
              </w:rPr>
            </w:pPr>
            <w:r>
              <w:rPr>
                <w:rFonts w:ascii="Cambria" w:hAnsi="Cambria"/>
              </w:rPr>
              <w:t xml:space="preserve">Pengadaan Barang / Jasa </w:t>
            </w:r>
          </w:p>
        </w:tc>
        <w:tc>
          <w:tcPr>
            <w:tcW w:w="1482" w:type="dxa"/>
            <w:vAlign w:val="center"/>
          </w:tcPr>
          <w:p>
            <w:pPr>
              <w:spacing w:after="0" w:line="240" w:lineRule="auto"/>
              <w:jc w:val="center"/>
              <w:rPr>
                <w:rFonts w:hint="default" w:ascii="Cambria" w:hAnsi="Cambria" w:eastAsia="Times New Roman"/>
                <w:sz w:val="20"/>
                <w:szCs w:val="20"/>
              </w:rPr>
            </w:pPr>
            <w:r>
              <w:rPr>
                <w:rFonts w:ascii="Cambria" w:hAnsi="Cambria" w:eastAsia="Times New Roman"/>
                <w:sz w:val="20"/>
                <w:szCs w:val="20"/>
              </w:rPr>
              <w:t xml:space="preserve">Strata </w:t>
            </w:r>
            <w:r>
              <w:rPr>
                <w:rFonts w:hint="default" w:ascii="Cambria" w:hAnsi="Cambria" w:eastAsia="Times New Roman"/>
                <w:sz w:val="20"/>
                <w:szCs w:val="20"/>
              </w:rPr>
              <w:t>1</w:t>
            </w:r>
          </w:p>
        </w:tc>
        <w:tc>
          <w:tcPr>
            <w:tcW w:w="1410" w:type="dxa"/>
            <w:vAlign w:val="center"/>
          </w:tcPr>
          <w:p>
            <w:pPr>
              <w:spacing w:after="0" w:line="240" w:lineRule="auto"/>
              <w:jc w:val="center"/>
              <w:rPr>
                <w:rFonts w:hint="default" w:ascii="Cambria" w:hAnsi="Cambria" w:eastAsia="Times New Roman"/>
                <w:sz w:val="20"/>
                <w:szCs w:val="20"/>
              </w:rPr>
            </w:pPr>
            <w:r>
              <w:rPr>
                <w:rFonts w:hint="default" w:ascii="Cambria" w:hAnsi="Cambria" w:eastAsia="Times New Roman"/>
                <w:sz w:val="20"/>
                <w:szCs w:val="20"/>
              </w:rPr>
              <w:t>3</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590" w:type="dxa"/>
            <w:vAlign w:val="top"/>
          </w:tcPr>
          <w:p>
            <w:pPr>
              <w:spacing w:before="60" w:after="60" w:line="240" w:lineRule="auto"/>
              <w:jc w:val="center"/>
              <w:rPr>
                <w:rFonts w:hint="default" w:ascii="Cambria" w:hAnsi="Cambria"/>
              </w:rPr>
            </w:pPr>
            <w:r>
              <w:rPr>
                <w:rFonts w:hint="default" w:ascii="Cambria" w:hAnsi="Cambria"/>
              </w:rPr>
              <w:t>4.</w:t>
            </w:r>
          </w:p>
        </w:tc>
        <w:tc>
          <w:tcPr>
            <w:tcW w:w="2529" w:type="dxa"/>
            <w:vAlign w:val="top"/>
          </w:tcPr>
          <w:p>
            <w:pPr>
              <w:spacing w:before="60" w:after="60" w:line="240" w:lineRule="auto"/>
              <w:jc w:val="left"/>
              <w:rPr>
                <w:rFonts w:hint="default" w:ascii="Cambria" w:hAnsi="Cambria"/>
              </w:rPr>
            </w:pPr>
            <w:r>
              <w:rPr>
                <w:rFonts w:ascii="Cambria" w:hAnsi="Cambria"/>
              </w:rPr>
              <w:t xml:space="preserve">Pengelola Pengadaan Barang / Jasa </w:t>
            </w:r>
            <w:r>
              <w:rPr>
                <w:rFonts w:hint="default" w:ascii="Cambria" w:hAnsi="Cambria"/>
              </w:rPr>
              <w:t>Pertama</w:t>
            </w:r>
          </w:p>
        </w:tc>
        <w:tc>
          <w:tcPr>
            <w:tcW w:w="1871" w:type="dxa"/>
            <w:vAlign w:val="center"/>
          </w:tcPr>
          <w:p>
            <w:pPr>
              <w:spacing w:before="60" w:after="60" w:line="240" w:lineRule="auto"/>
              <w:jc w:val="center"/>
              <w:rPr>
                <w:rFonts w:ascii="Cambria" w:hAnsi="Cambria"/>
              </w:rPr>
            </w:pPr>
            <w:r>
              <w:rPr>
                <w:rFonts w:ascii="Cambria" w:hAnsi="Cambria"/>
              </w:rPr>
              <w:t xml:space="preserve">Pengadaan Barang / Jasa </w:t>
            </w:r>
          </w:p>
        </w:tc>
        <w:tc>
          <w:tcPr>
            <w:tcW w:w="1482" w:type="dxa"/>
            <w:vAlign w:val="center"/>
          </w:tcPr>
          <w:p>
            <w:pPr>
              <w:spacing w:after="0" w:line="240" w:lineRule="auto"/>
              <w:jc w:val="center"/>
              <w:rPr>
                <w:rFonts w:ascii="Cambria" w:hAnsi="Cambria" w:eastAsia="Times New Roman"/>
                <w:sz w:val="20"/>
                <w:szCs w:val="20"/>
              </w:rPr>
            </w:pPr>
            <w:r>
              <w:rPr>
                <w:rFonts w:ascii="Cambria" w:hAnsi="Cambria" w:eastAsia="Times New Roman"/>
                <w:sz w:val="20"/>
                <w:szCs w:val="20"/>
              </w:rPr>
              <w:t xml:space="preserve">Strata </w:t>
            </w:r>
            <w:r>
              <w:rPr>
                <w:rFonts w:hint="default" w:ascii="Cambria" w:hAnsi="Cambria" w:eastAsia="Times New Roman"/>
                <w:sz w:val="20"/>
                <w:szCs w:val="20"/>
              </w:rPr>
              <w:t>1</w:t>
            </w:r>
          </w:p>
        </w:tc>
        <w:tc>
          <w:tcPr>
            <w:tcW w:w="1410" w:type="dxa"/>
            <w:vAlign w:val="center"/>
          </w:tcPr>
          <w:p>
            <w:pPr>
              <w:spacing w:after="0" w:line="240" w:lineRule="auto"/>
              <w:jc w:val="center"/>
              <w:rPr>
                <w:rFonts w:hint="default" w:ascii="Cambria" w:hAnsi="Cambria" w:eastAsia="Times New Roman"/>
                <w:sz w:val="20"/>
                <w:szCs w:val="20"/>
              </w:rPr>
            </w:pPr>
            <w:r>
              <w:rPr>
                <w:rFonts w:hint="default" w:ascii="Cambria" w:hAnsi="Cambria" w:eastAsia="Times New Roman"/>
                <w:sz w:val="20"/>
                <w:szCs w:val="20"/>
              </w:rPr>
              <w:t>1</w:t>
            </w:r>
          </w:p>
        </w:tc>
      </w:tr>
    </w:tbl>
    <w:p>
      <w:pPr>
        <w:spacing w:before="120" w:line="276" w:lineRule="auto"/>
        <w:ind w:firstLine="851"/>
        <w:jc w:val="both"/>
        <w:rPr>
          <w:rFonts w:ascii="Cambria" w:hAnsi="Cambria" w:eastAsia="Arial Unicode MS"/>
          <w:sz w:val="10"/>
          <w:szCs w:val="10"/>
        </w:rPr>
      </w:pPr>
    </w:p>
    <w:p>
      <w:pPr>
        <w:spacing w:before="120" w:line="276" w:lineRule="auto"/>
        <w:ind w:firstLine="851"/>
        <w:jc w:val="both"/>
        <w:rPr>
          <w:rFonts w:ascii="Cambria" w:hAnsi="Cambria" w:eastAsia="Arial Unicode MS"/>
        </w:rPr>
      </w:pPr>
      <w:r>
        <w:rPr>
          <w:rFonts w:ascii="Cambria" w:hAnsi="Cambria" w:eastAsia="Arial Unicode MS"/>
        </w:rPr>
        <w:t xml:space="preserve">Dari sisi jumlah, sumber daya manusia (SDM) </w:t>
      </w:r>
      <w:r>
        <w:rPr>
          <w:rFonts w:ascii="Cambria" w:hAnsi="Cambria" w:cs="Times New Roman"/>
        </w:rPr>
        <w:t>Biro Administrasi Pengadaan dan Pengelolaan Barang Milik Daerah</w:t>
      </w:r>
      <w:r>
        <w:rPr>
          <w:rFonts w:ascii="Cambria" w:hAnsi="Cambria" w:eastAsia="Arial Unicode MS"/>
        </w:rPr>
        <w:t xml:space="preserve"> terus berkurang setiap tahunnya sedangkan kebutuhan akan SDM yang berkualitas terus meningkat seiring dengan tuntutan untuk meningkatkan pencapaian target kinerja organisasi sesuai dengan kebutuhan dan skala prioritas. Ke depan diharapkan adanya penambahan jumlah pegawai, baik melalui penerimaan PNS baru maupun penerimaan pegawai pindah tugas paling tidak sama dengan jumlah pegawai yang pensiun setiap tahunnya, sehingga pencapaian target kinerja </w:t>
      </w:r>
      <w:r>
        <w:rPr>
          <w:rFonts w:ascii="Cambria" w:hAnsi="Cambria" w:cs="Times New Roman"/>
        </w:rPr>
        <w:t>Biro Administrasi Pengadaan dan Pengelolaan Barang Milik Daerah</w:t>
      </w:r>
      <w:r>
        <w:rPr>
          <w:rFonts w:ascii="Cambria" w:hAnsi="Cambria" w:eastAsia="Arial Unicode MS"/>
        </w:rPr>
        <w:t xml:space="preserve"> di tahun 2016 – 2021 dapat terlaksana dan tercapai dengan baik. </w:t>
      </w:r>
    </w:p>
    <w:p>
      <w:pPr>
        <w:spacing w:before="120" w:line="276" w:lineRule="auto"/>
        <w:ind w:firstLine="851"/>
        <w:jc w:val="both"/>
        <w:rPr>
          <w:rFonts w:ascii="Cambria" w:hAnsi="Cambria" w:eastAsia="Arial Unicode MS"/>
        </w:rPr>
      </w:pPr>
    </w:p>
    <w:p>
      <w:pPr>
        <w:tabs>
          <w:tab w:val="left" w:pos="3060"/>
        </w:tabs>
        <w:spacing w:before="120"/>
        <w:ind w:hanging="2"/>
        <w:jc w:val="both"/>
        <w:rPr>
          <w:rFonts w:ascii="Cambria" w:hAnsi="Cambria"/>
          <w:b/>
        </w:rPr>
      </w:pPr>
      <w:r>
        <w:rPr>
          <w:rFonts w:ascii="Cambria" w:hAnsi="Cambria"/>
          <w:b/>
        </w:rPr>
        <w:t>2.2.2. Sumber Daya Aset</w:t>
      </w:r>
    </w:p>
    <w:p>
      <w:pPr>
        <w:autoSpaceDE w:val="0"/>
        <w:autoSpaceDN w:val="0"/>
        <w:adjustRightInd w:val="0"/>
        <w:spacing w:before="120" w:line="276" w:lineRule="auto"/>
        <w:ind w:firstLine="851"/>
        <w:jc w:val="both"/>
        <w:rPr>
          <w:rFonts w:ascii="Cambria" w:hAnsi="Cambria"/>
          <w:color w:val="000000"/>
          <w:lang w:eastAsia="id-ID"/>
        </w:rPr>
      </w:pPr>
      <w:r>
        <w:rPr>
          <w:rFonts w:ascii="Cambria" w:hAnsi="Cambria"/>
          <w:lang w:eastAsia="id-ID"/>
        </w:rPr>
        <w:t xml:space="preserve">Kantor </w:t>
      </w:r>
      <w:r>
        <w:rPr>
          <w:rFonts w:ascii="Cambria" w:hAnsi="Cambria" w:cs="Times New Roman"/>
        </w:rPr>
        <w:t>Biro Administrasi Pengadaan dan Pengelolaan Barang Milik Daerah</w:t>
      </w:r>
      <w:r>
        <w:rPr>
          <w:rFonts w:ascii="Cambria" w:hAnsi="Cambria" w:eastAsia="Arial Unicode MS"/>
        </w:rPr>
        <w:t xml:space="preserve"> </w:t>
      </w:r>
      <w:r>
        <w:rPr>
          <w:rFonts w:ascii="Cambria" w:hAnsi="Cambria"/>
          <w:lang w:eastAsia="id-ID"/>
        </w:rPr>
        <w:t xml:space="preserve">merupakan salah satu dari sembilan biro yang ada dilingkup Sekretariat Daerah Provinsi Sumatera Barat terletak di Jalan Jenderal Sudirman Nomor 51 Kota Padang. Gedung kantor ini merupakan Escape Building. </w:t>
      </w:r>
      <w:r>
        <w:rPr>
          <w:rFonts w:ascii="Cambria" w:hAnsi="Cambria"/>
          <w:color w:val="000000"/>
          <w:lang w:eastAsia="id-ID"/>
        </w:rPr>
        <w:t xml:space="preserve">Letak kantor </w:t>
      </w:r>
      <w:r>
        <w:rPr>
          <w:rFonts w:ascii="Cambria" w:hAnsi="Cambria" w:cs="Times New Roman"/>
        </w:rPr>
        <w:t>Biro Administrasi Pengadaan dan Pengelolaan Barang Milik Daerah</w:t>
      </w:r>
      <w:r>
        <w:rPr>
          <w:rFonts w:ascii="Cambria" w:hAnsi="Cambria"/>
          <w:color w:val="000000"/>
          <w:lang w:eastAsia="id-ID"/>
        </w:rPr>
        <w:t xml:space="preserve"> yang berada dilokasi strategis sangat mudah diakses pihak-pihak terkait dalam penyelenggaraan kegiatan-kegiatan.</w:t>
      </w:r>
    </w:p>
    <w:p>
      <w:pPr>
        <w:autoSpaceDE w:val="0"/>
        <w:autoSpaceDN w:val="0"/>
        <w:adjustRightInd w:val="0"/>
        <w:spacing w:before="120" w:line="276" w:lineRule="auto"/>
        <w:ind w:firstLine="851"/>
        <w:jc w:val="both"/>
        <w:rPr>
          <w:rFonts w:ascii="Cambria" w:hAnsi="Cambria"/>
          <w:lang w:eastAsia="id-ID"/>
        </w:rPr>
      </w:pPr>
      <w:r>
        <w:rPr>
          <w:rFonts w:ascii="Cambria" w:hAnsi="Cambria"/>
          <w:color w:val="000000"/>
          <w:lang w:eastAsia="id-ID"/>
        </w:rPr>
        <w:t xml:space="preserve">Permasalahan pada sarana dan prasarana di </w:t>
      </w:r>
      <w:r>
        <w:rPr>
          <w:rFonts w:ascii="Cambria" w:hAnsi="Cambria" w:cs="Times New Roman"/>
        </w:rPr>
        <w:t>Biro Administrasi Pengadaan dan Pengelolaan Barang Milik Daerah</w:t>
      </w:r>
      <w:r>
        <w:rPr>
          <w:rFonts w:ascii="Cambria" w:hAnsi="Cambria"/>
          <w:color w:val="000000"/>
          <w:lang w:eastAsia="id-ID"/>
        </w:rPr>
        <w:t xml:space="preserve"> adalah berkaitan dengan kurang memadainya ruangan kerja masing-masing bagian, dimana ruangan kerja Kepala Bagian, Kepala Sub Bagian dan staf masih berbagi dalam satu ruangan kantor, dan tidak memiliki ruang yang tidak cukup luas sehingga bekerja dalam keterbatasan ruang yang seadanya. </w:t>
      </w:r>
    </w:p>
    <w:p>
      <w:pPr>
        <w:autoSpaceDE w:val="0"/>
        <w:autoSpaceDN w:val="0"/>
        <w:adjustRightInd w:val="0"/>
        <w:spacing w:before="120" w:line="276" w:lineRule="auto"/>
        <w:ind w:firstLine="851"/>
        <w:jc w:val="both"/>
        <w:rPr>
          <w:rFonts w:ascii="Cambria" w:hAnsi="Cambria"/>
          <w:lang w:eastAsia="id-ID"/>
        </w:rPr>
      </w:pPr>
      <w:r>
        <w:rPr>
          <w:rFonts w:ascii="Cambria" w:hAnsi="Cambria"/>
          <w:lang w:eastAsia="id-ID"/>
        </w:rPr>
        <w:t xml:space="preserve">Secara umum kondisi sarana dan prasarana yang dimiliki dan digunakan dalam mendukung pelaksanaan kinerja </w:t>
      </w:r>
      <w:r>
        <w:rPr>
          <w:rFonts w:ascii="Cambria" w:hAnsi="Cambria" w:cs="Times New Roman"/>
        </w:rPr>
        <w:t>Biro Administrasi Pengadaan dan Pengelolaan Barang Milik Daerah</w:t>
      </w:r>
      <w:r>
        <w:rPr>
          <w:rFonts w:hint="default" w:ascii="Cambria" w:hAnsi="Cambria" w:cs="Times New Roman"/>
        </w:rPr>
        <w:t xml:space="preserve"> berdasarkan Laporan Barang Milik Daerah Semester I (per 30 Juni 2019)</w:t>
      </w:r>
      <w:r>
        <w:rPr>
          <w:rFonts w:ascii="Cambria" w:hAnsi="Cambria"/>
          <w:lang w:eastAsia="id-ID"/>
        </w:rPr>
        <w:t xml:space="preserve"> dapat dilihat pada Tabel 2.4 berikut ini :</w:t>
      </w:r>
    </w:p>
    <w:p>
      <w:pPr>
        <w:spacing w:after="0" w:line="240" w:lineRule="auto"/>
        <w:jc w:val="center"/>
        <w:rPr>
          <w:rFonts w:ascii="Cambria" w:hAnsi="Cambria"/>
          <w:b/>
          <w:lang w:val="fi-FI"/>
        </w:rPr>
      </w:pPr>
      <w:r>
        <w:rPr>
          <w:rFonts w:ascii="Cambria" w:hAnsi="Cambria"/>
          <w:b/>
          <w:lang w:val="fi-FI"/>
        </w:rPr>
        <w:t xml:space="preserve">Tabel </w:t>
      </w:r>
      <w:r>
        <w:rPr>
          <w:rFonts w:ascii="Cambria" w:hAnsi="Cambria"/>
          <w:b/>
        </w:rPr>
        <w:t>2</w:t>
      </w:r>
      <w:r>
        <w:rPr>
          <w:rFonts w:ascii="Cambria" w:hAnsi="Cambria"/>
          <w:b/>
          <w:lang w:val="fi-FI"/>
        </w:rPr>
        <w:t>.</w:t>
      </w:r>
      <w:r>
        <w:rPr>
          <w:rFonts w:ascii="Cambria" w:hAnsi="Cambria"/>
          <w:b/>
        </w:rPr>
        <w:t>4</w:t>
      </w:r>
      <w:r>
        <w:rPr>
          <w:rFonts w:ascii="Cambria" w:hAnsi="Cambria"/>
          <w:b/>
          <w:lang w:val="fi-FI"/>
        </w:rPr>
        <w:t>.</w:t>
      </w:r>
    </w:p>
    <w:p>
      <w:pPr>
        <w:spacing w:after="0" w:line="240" w:lineRule="auto"/>
        <w:jc w:val="center"/>
        <w:rPr>
          <w:rFonts w:ascii="Cambria" w:hAnsi="Cambria"/>
          <w:b/>
        </w:rPr>
      </w:pPr>
      <w:r>
        <w:rPr>
          <w:rFonts w:ascii="Cambria" w:hAnsi="Cambria"/>
          <w:b/>
        </w:rPr>
        <w:t>Rekapitulasi Sarana dan Prasarana</w:t>
      </w:r>
    </w:p>
    <w:p>
      <w:pPr>
        <w:autoSpaceDE w:val="0"/>
        <w:autoSpaceDN w:val="0"/>
        <w:adjustRightInd w:val="0"/>
        <w:spacing w:after="0" w:line="240" w:lineRule="auto"/>
        <w:jc w:val="center"/>
        <w:rPr>
          <w:rFonts w:ascii="Cambria" w:hAnsi="Cambria" w:cs="Times New Roman"/>
          <w:b/>
        </w:rPr>
      </w:pPr>
      <w:r>
        <w:rPr>
          <w:rFonts w:ascii="Cambria" w:hAnsi="Cambria" w:cs="Times New Roman"/>
          <w:b/>
        </w:rPr>
        <w:t>Biro Administrasi Pengadaan dan Pengelolaan Barang Milik Daerah</w:t>
      </w:r>
    </w:p>
    <w:p>
      <w:pPr>
        <w:autoSpaceDE w:val="0"/>
        <w:autoSpaceDN w:val="0"/>
        <w:adjustRightInd w:val="0"/>
        <w:spacing w:after="0" w:line="240" w:lineRule="auto"/>
        <w:jc w:val="center"/>
        <w:rPr>
          <w:rFonts w:ascii="Cambria" w:hAnsi="Cambria"/>
          <w:b/>
          <w:lang w:val="en-US" w:eastAsia="id-ID"/>
        </w:rPr>
      </w:pPr>
    </w:p>
    <w:tbl>
      <w:tblPr>
        <w:tblStyle w:val="7"/>
        <w:tblW w:w="8696"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5"/>
        <w:gridCol w:w="3181"/>
        <w:gridCol w:w="992"/>
        <w:gridCol w:w="1276"/>
        <w:gridCol w:w="1281"/>
        <w:gridCol w:w="1283"/>
        <w:gridCol w:w="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75" w:type="dxa"/>
            <w:vMerge w:val="restart"/>
            <w:shd w:val="clear" w:color="auto" w:fill="C00000"/>
            <w:vAlign w:val="center"/>
          </w:tcPr>
          <w:p>
            <w:pPr>
              <w:tabs>
                <w:tab w:val="left" w:pos="3060"/>
              </w:tabs>
              <w:spacing w:before="20" w:after="20"/>
              <w:jc w:val="center"/>
              <w:rPr>
                <w:rFonts w:ascii="Cambria" w:hAnsi="Cambria" w:eastAsia="Times New Roman"/>
                <w:b/>
              </w:rPr>
            </w:pPr>
            <w:r>
              <w:rPr>
                <w:rFonts w:ascii="Cambria" w:hAnsi="Cambria" w:eastAsia="Times New Roman"/>
                <w:b/>
              </w:rPr>
              <w:t>No</w:t>
            </w:r>
          </w:p>
        </w:tc>
        <w:tc>
          <w:tcPr>
            <w:tcW w:w="3181" w:type="dxa"/>
            <w:vMerge w:val="restart"/>
            <w:shd w:val="clear" w:color="auto" w:fill="C00000"/>
            <w:vAlign w:val="center"/>
          </w:tcPr>
          <w:p>
            <w:pPr>
              <w:tabs>
                <w:tab w:val="left" w:pos="3060"/>
              </w:tabs>
              <w:spacing w:before="20" w:after="20"/>
              <w:jc w:val="center"/>
              <w:rPr>
                <w:rFonts w:ascii="Cambria" w:hAnsi="Cambria" w:eastAsia="Times New Roman"/>
                <w:b/>
              </w:rPr>
            </w:pPr>
            <w:r>
              <w:rPr>
                <w:rFonts w:ascii="Cambria" w:hAnsi="Cambria" w:eastAsia="Times New Roman"/>
                <w:b/>
              </w:rPr>
              <w:t>Nama Barang</w:t>
            </w:r>
          </w:p>
        </w:tc>
        <w:tc>
          <w:tcPr>
            <w:tcW w:w="992" w:type="dxa"/>
            <w:vMerge w:val="restart"/>
            <w:shd w:val="clear" w:color="auto" w:fill="C00000"/>
            <w:vAlign w:val="center"/>
          </w:tcPr>
          <w:p>
            <w:pPr>
              <w:tabs>
                <w:tab w:val="left" w:pos="3060"/>
              </w:tabs>
              <w:spacing w:before="20" w:after="20"/>
              <w:jc w:val="center"/>
              <w:rPr>
                <w:rFonts w:ascii="Cambria" w:hAnsi="Cambria" w:eastAsia="Times New Roman"/>
                <w:b/>
              </w:rPr>
            </w:pPr>
            <w:r>
              <w:rPr>
                <w:rFonts w:ascii="Cambria" w:hAnsi="Cambria" w:eastAsia="Times New Roman"/>
                <w:b/>
              </w:rPr>
              <w:t>Satuan</w:t>
            </w:r>
          </w:p>
        </w:tc>
        <w:tc>
          <w:tcPr>
            <w:tcW w:w="3848" w:type="dxa"/>
            <w:gridSpan w:val="4"/>
            <w:shd w:val="clear" w:color="auto" w:fill="C00000"/>
            <w:vAlign w:val="center"/>
          </w:tcPr>
          <w:p>
            <w:pPr>
              <w:tabs>
                <w:tab w:val="left" w:pos="3060"/>
              </w:tabs>
              <w:spacing w:before="20" w:after="20"/>
              <w:jc w:val="center"/>
              <w:rPr>
                <w:rFonts w:ascii="Cambria" w:hAnsi="Cambria" w:eastAsia="Times New Roman"/>
                <w:b/>
              </w:rPr>
            </w:pPr>
            <w:r>
              <w:rPr>
                <w:rFonts w:ascii="Cambria" w:hAnsi="Cambria" w:eastAsia="Times New Roman"/>
                <w:b/>
              </w:rPr>
              <w:t>Kondisi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8" w:type="dxa"/>
        </w:trPr>
        <w:tc>
          <w:tcPr>
            <w:tcW w:w="675" w:type="dxa"/>
            <w:vMerge w:val="continue"/>
            <w:shd w:val="clear" w:color="auto" w:fill="C00000"/>
          </w:tcPr>
          <w:p>
            <w:pPr>
              <w:tabs>
                <w:tab w:val="left" w:pos="3060"/>
              </w:tabs>
              <w:spacing w:before="20" w:after="20"/>
              <w:jc w:val="center"/>
              <w:rPr>
                <w:rFonts w:ascii="Cambria" w:hAnsi="Cambria" w:eastAsia="Times New Roman"/>
              </w:rPr>
            </w:pPr>
          </w:p>
        </w:tc>
        <w:tc>
          <w:tcPr>
            <w:tcW w:w="3181" w:type="dxa"/>
            <w:vMerge w:val="continue"/>
            <w:shd w:val="clear" w:color="auto" w:fill="C00000"/>
          </w:tcPr>
          <w:p>
            <w:pPr>
              <w:tabs>
                <w:tab w:val="left" w:pos="3060"/>
              </w:tabs>
              <w:spacing w:before="20" w:after="20"/>
              <w:jc w:val="both"/>
              <w:rPr>
                <w:rFonts w:ascii="Cambria" w:hAnsi="Cambria" w:eastAsia="Times New Roman"/>
              </w:rPr>
            </w:pPr>
          </w:p>
        </w:tc>
        <w:tc>
          <w:tcPr>
            <w:tcW w:w="992" w:type="dxa"/>
            <w:vMerge w:val="continue"/>
            <w:shd w:val="clear" w:color="auto" w:fill="C00000"/>
          </w:tcPr>
          <w:p>
            <w:pPr>
              <w:tabs>
                <w:tab w:val="left" w:pos="3060"/>
              </w:tabs>
              <w:spacing w:before="20" w:after="20"/>
              <w:jc w:val="center"/>
              <w:rPr>
                <w:rFonts w:ascii="Cambria" w:hAnsi="Cambria" w:eastAsia="Times New Roman"/>
              </w:rPr>
            </w:pPr>
          </w:p>
        </w:tc>
        <w:tc>
          <w:tcPr>
            <w:tcW w:w="1276" w:type="dxa"/>
            <w:shd w:val="clear" w:color="auto" w:fill="C00000"/>
            <w:vAlign w:val="center"/>
          </w:tcPr>
          <w:p>
            <w:pPr>
              <w:tabs>
                <w:tab w:val="left" w:pos="3060"/>
              </w:tabs>
              <w:spacing w:before="20" w:after="20"/>
              <w:jc w:val="center"/>
              <w:rPr>
                <w:rFonts w:ascii="Cambria" w:hAnsi="Cambria" w:eastAsia="Times New Roman"/>
                <w:b/>
              </w:rPr>
            </w:pPr>
            <w:r>
              <w:rPr>
                <w:rFonts w:ascii="Cambria" w:hAnsi="Cambria" w:eastAsia="Times New Roman"/>
                <w:b/>
              </w:rPr>
              <w:t>Baik</w:t>
            </w:r>
          </w:p>
        </w:tc>
        <w:tc>
          <w:tcPr>
            <w:tcW w:w="1281" w:type="dxa"/>
            <w:shd w:val="clear" w:color="auto" w:fill="C00000"/>
            <w:vAlign w:val="center"/>
          </w:tcPr>
          <w:p>
            <w:pPr>
              <w:tabs>
                <w:tab w:val="left" w:pos="3060"/>
              </w:tabs>
              <w:spacing w:before="20" w:after="20"/>
              <w:jc w:val="center"/>
              <w:rPr>
                <w:rFonts w:ascii="Cambria" w:hAnsi="Cambria" w:eastAsia="Times New Roman"/>
                <w:b/>
              </w:rPr>
            </w:pPr>
            <w:r>
              <w:rPr>
                <w:rFonts w:ascii="Cambria" w:hAnsi="Cambria" w:eastAsia="Times New Roman"/>
                <w:b/>
              </w:rPr>
              <w:t>Rusak Ringan</w:t>
            </w:r>
          </w:p>
        </w:tc>
        <w:tc>
          <w:tcPr>
            <w:tcW w:w="1283" w:type="dxa"/>
            <w:shd w:val="clear" w:color="auto" w:fill="C00000"/>
            <w:vAlign w:val="center"/>
          </w:tcPr>
          <w:p>
            <w:pPr>
              <w:tabs>
                <w:tab w:val="left" w:pos="3060"/>
              </w:tabs>
              <w:spacing w:before="20" w:after="20"/>
              <w:jc w:val="center"/>
              <w:rPr>
                <w:rFonts w:ascii="Cambria" w:hAnsi="Cambria" w:eastAsia="Times New Roman"/>
                <w:b/>
              </w:rPr>
            </w:pPr>
            <w:r>
              <w:rPr>
                <w:rFonts w:ascii="Cambria" w:hAnsi="Cambria" w:eastAsia="Times New Roman"/>
                <w:b/>
              </w:rPr>
              <w:t>Rusak Berat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8" w:type="dxa"/>
        </w:trPr>
        <w:tc>
          <w:tcPr>
            <w:tcW w:w="675" w:type="dxa"/>
          </w:tcPr>
          <w:p>
            <w:pPr>
              <w:tabs>
                <w:tab w:val="left" w:pos="3060"/>
              </w:tabs>
              <w:spacing w:before="20" w:after="20"/>
              <w:jc w:val="center"/>
              <w:rPr>
                <w:rFonts w:ascii="Cambria" w:hAnsi="Cambria" w:eastAsia="Times New Roman"/>
                <w:color w:val="000000" w:themeColor="text1"/>
                <w14:textFill>
                  <w14:solidFill>
                    <w14:schemeClr w14:val="tx1"/>
                  </w14:solidFill>
                </w14:textFill>
              </w:rPr>
            </w:pPr>
            <w:r>
              <w:rPr>
                <w:rFonts w:ascii="Cambria" w:hAnsi="Cambria" w:eastAsia="Times New Roman"/>
                <w:color w:val="000000" w:themeColor="text1"/>
                <w14:textFill>
                  <w14:solidFill>
                    <w14:schemeClr w14:val="tx1"/>
                  </w14:solidFill>
                </w14:textFill>
              </w:rPr>
              <w:t>1.</w:t>
            </w:r>
          </w:p>
        </w:tc>
        <w:tc>
          <w:tcPr>
            <w:tcW w:w="3181" w:type="dxa"/>
          </w:tcPr>
          <w:p>
            <w:pPr>
              <w:tabs>
                <w:tab w:val="left" w:pos="3060"/>
              </w:tabs>
              <w:spacing w:before="20" w:after="20"/>
              <w:jc w:val="both"/>
              <w:rPr>
                <w:rFonts w:ascii="Cambria" w:hAnsi="Cambria" w:eastAsia="Times New Roman"/>
                <w:color w:val="000000" w:themeColor="text1"/>
                <w14:textFill>
                  <w14:solidFill>
                    <w14:schemeClr w14:val="tx1"/>
                  </w14:solidFill>
                </w14:textFill>
              </w:rPr>
            </w:pPr>
            <w:r>
              <w:rPr>
                <w:rFonts w:ascii="Cambria" w:hAnsi="Cambria" w:eastAsia="Times New Roman"/>
                <w:color w:val="000000" w:themeColor="text1"/>
                <w14:textFill>
                  <w14:solidFill>
                    <w14:schemeClr w14:val="tx1"/>
                  </w14:solidFill>
                </w14:textFill>
              </w:rPr>
              <w:t>Kendaraan Roda 4</w:t>
            </w:r>
          </w:p>
        </w:tc>
        <w:tc>
          <w:tcPr>
            <w:tcW w:w="992" w:type="dxa"/>
          </w:tcPr>
          <w:p>
            <w:pPr>
              <w:tabs>
                <w:tab w:val="left" w:pos="3060"/>
              </w:tabs>
              <w:spacing w:before="20" w:after="20"/>
              <w:jc w:val="center"/>
              <w:rPr>
                <w:rFonts w:ascii="Cambria" w:hAnsi="Cambria" w:eastAsia="Times New Roman"/>
                <w:color w:val="000000" w:themeColor="text1"/>
                <w14:textFill>
                  <w14:solidFill>
                    <w14:schemeClr w14:val="tx1"/>
                  </w14:solidFill>
                </w14:textFill>
              </w:rPr>
            </w:pPr>
            <w:r>
              <w:rPr>
                <w:rFonts w:ascii="Cambria" w:hAnsi="Cambria" w:eastAsia="Times New Roman"/>
                <w:color w:val="000000" w:themeColor="text1"/>
                <w14:textFill>
                  <w14:solidFill>
                    <w14:schemeClr w14:val="tx1"/>
                  </w14:solidFill>
                </w14:textFill>
              </w:rPr>
              <w:t>unit</w:t>
            </w:r>
          </w:p>
        </w:tc>
        <w:tc>
          <w:tcPr>
            <w:tcW w:w="1276" w:type="dxa"/>
          </w:tcPr>
          <w:p>
            <w:pPr>
              <w:tabs>
                <w:tab w:val="left" w:pos="3060"/>
              </w:tabs>
              <w:spacing w:before="20" w:after="20"/>
              <w:jc w:val="center"/>
              <w:rPr>
                <w:rFonts w:ascii="Cambria" w:hAnsi="Cambria" w:eastAsia="Times New Roman"/>
                <w:color w:val="000000" w:themeColor="text1"/>
                <w14:textFill>
                  <w14:solidFill>
                    <w14:schemeClr w14:val="tx1"/>
                  </w14:solidFill>
                </w14:textFill>
              </w:rPr>
            </w:pPr>
            <w:r>
              <w:rPr>
                <w:rFonts w:ascii="Cambria" w:hAnsi="Cambria" w:eastAsia="Times New Roman"/>
                <w:color w:val="000000" w:themeColor="text1"/>
                <w14:textFill>
                  <w14:solidFill>
                    <w14:schemeClr w14:val="tx1"/>
                  </w14:solidFill>
                </w14:textFill>
              </w:rPr>
              <w:t>6</w:t>
            </w:r>
          </w:p>
        </w:tc>
        <w:tc>
          <w:tcPr>
            <w:tcW w:w="1281" w:type="dxa"/>
          </w:tcPr>
          <w:p>
            <w:pPr>
              <w:tabs>
                <w:tab w:val="left" w:pos="3060"/>
              </w:tabs>
              <w:spacing w:before="20" w:after="20"/>
              <w:jc w:val="center"/>
              <w:rPr>
                <w:rFonts w:ascii="Cambria" w:hAnsi="Cambria" w:eastAsia="Times New Roman"/>
                <w:color w:val="000000" w:themeColor="text1"/>
                <w14:textFill>
                  <w14:solidFill>
                    <w14:schemeClr w14:val="tx1"/>
                  </w14:solidFill>
                </w14:textFill>
              </w:rPr>
            </w:pPr>
          </w:p>
        </w:tc>
        <w:tc>
          <w:tcPr>
            <w:tcW w:w="1283" w:type="dxa"/>
          </w:tcPr>
          <w:p>
            <w:pPr>
              <w:tabs>
                <w:tab w:val="left" w:pos="3060"/>
              </w:tabs>
              <w:spacing w:before="20" w:after="20"/>
              <w:jc w:val="center"/>
              <w:rPr>
                <w:rFonts w:ascii="Cambria" w:hAnsi="Cambria" w:eastAsia="Times New Roman"/>
                <w:color w:val="000000" w:themeColor="text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8" w:type="dxa"/>
        </w:trPr>
        <w:tc>
          <w:tcPr>
            <w:tcW w:w="675" w:type="dxa"/>
          </w:tcPr>
          <w:p>
            <w:pPr>
              <w:tabs>
                <w:tab w:val="left" w:pos="3060"/>
              </w:tabs>
              <w:spacing w:before="20" w:after="20"/>
              <w:jc w:val="center"/>
              <w:rPr>
                <w:rFonts w:ascii="Cambria" w:hAnsi="Cambria" w:eastAsia="Times New Roman"/>
                <w:color w:val="000000" w:themeColor="text1"/>
                <w14:textFill>
                  <w14:solidFill>
                    <w14:schemeClr w14:val="tx1"/>
                  </w14:solidFill>
                </w14:textFill>
              </w:rPr>
            </w:pPr>
            <w:r>
              <w:rPr>
                <w:rFonts w:ascii="Cambria" w:hAnsi="Cambria" w:eastAsia="Times New Roman"/>
                <w:color w:val="000000" w:themeColor="text1"/>
                <w14:textFill>
                  <w14:solidFill>
                    <w14:schemeClr w14:val="tx1"/>
                  </w14:solidFill>
                </w14:textFill>
              </w:rPr>
              <w:t>2.</w:t>
            </w:r>
          </w:p>
        </w:tc>
        <w:tc>
          <w:tcPr>
            <w:tcW w:w="3181" w:type="dxa"/>
          </w:tcPr>
          <w:p>
            <w:pPr>
              <w:tabs>
                <w:tab w:val="left" w:pos="3060"/>
              </w:tabs>
              <w:spacing w:before="20" w:after="20"/>
              <w:jc w:val="both"/>
              <w:rPr>
                <w:rFonts w:ascii="Cambria" w:hAnsi="Cambria" w:eastAsia="Times New Roman"/>
                <w:color w:val="000000" w:themeColor="text1"/>
                <w14:textFill>
                  <w14:solidFill>
                    <w14:schemeClr w14:val="tx1"/>
                  </w14:solidFill>
                </w14:textFill>
              </w:rPr>
            </w:pPr>
            <w:r>
              <w:rPr>
                <w:rFonts w:ascii="Cambria" w:hAnsi="Cambria" w:eastAsia="Times New Roman"/>
                <w:color w:val="000000" w:themeColor="text1"/>
                <w14:textFill>
                  <w14:solidFill>
                    <w14:schemeClr w14:val="tx1"/>
                  </w14:solidFill>
                </w14:textFill>
              </w:rPr>
              <w:t>Kendaraan Roda 2</w:t>
            </w:r>
          </w:p>
        </w:tc>
        <w:tc>
          <w:tcPr>
            <w:tcW w:w="992" w:type="dxa"/>
          </w:tcPr>
          <w:p>
            <w:pPr>
              <w:tabs>
                <w:tab w:val="left" w:pos="3060"/>
              </w:tabs>
              <w:spacing w:before="20" w:after="20"/>
              <w:jc w:val="center"/>
              <w:rPr>
                <w:rFonts w:ascii="Cambria" w:hAnsi="Cambria" w:eastAsia="Times New Roman"/>
                <w:color w:val="000000" w:themeColor="text1"/>
                <w14:textFill>
                  <w14:solidFill>
                    <w14:schemeClr w14:val="tx1"/>
                  </w14:solidFill>
                </w14:textFill>
              </w:rPr>
            </w:pPr>
            <w:r>
              <w:rPr>
                <w:rFonts w:ascii="Cambria" w:hAnsi="Cambria" w:eastAsia="Times New Roman"/>
                <w:color w:val="000000" w:themeColor="text1"/>
                <w14:textFill>
                  <w14:solidFill>
                    <w14:schemeClr w14:val="tx1"/>
                  </w14:solidFill>
                </w14:textFill>
              </w:rPr>
              <w:t>unit</w:t>
            </w:r>
          </w:p>
        </w:tc>
        <w:tc>
          <w:tcPr>
            <w:tcW w:w="1276" w:type="dxa"/>
          </w:tcPr>
          <w:p>
            <w:pPr>
              <w:tabs>
                <w:tab w:val="left" w:pos="3060"/>
              </w:tabs>
              <w:spacing w:before="20" w:after="20"/>
              <w:jc w:val="center"/>
              <w:rPr>
                <w:rFonts w:ascii="Cambria" w:hAnsi="Cambria" w:eastAsia="Times New Roman"/>
                <w:color w:val="000000" w:themeColor="text1"/>
                <w14:textFill>
                  <w14:solidFill>
                    <w14:schemeClr w14:val="tx1"/>
                  </w14:solidFill>
                </w14:textFill>
              </w:rPr>
            </w:pPr>
            <w:r>
              <w:rPr>
                <w:rFonts w:ascii="Cambria" w:hAnsi="Cambria" w:eastAsia="Times New Roman"/>
                <w:color w:val="000000" w:themeColor="text1"/>
                <w14:textFill>
                  <w14:solidFill>
                    <w14:schemeClr w14:val="tx1"/>
                  </w14:solidFill>
                </w14:textFill>
              </w:rPr>
              <w:t>1</w:t>
            </w:r>
          </w:p>
        </w:tc>
        <w:tc>
          <w:tcPr>
            <w:tcW w:w="1281" w:type="dxa"/>
          </w:tcPr>
          <w:p>
            <w:pPr>
              <w:tabs>
                <w:tab w:val="left" w:pos="3060"/>
              </w:tabs>
              <w:spacing w:before="20" w:after="20"/>
              <w:jc w:val="center"/>
              <w:rPr>
                <w:rFonts w:ascii="Cambria" w:hAnsi="Cambria" w:eastAsia="Times New Roman"/>
                <w:color w:val="000000" w:themeColor="text1"/>
                <w14:textFill>
                  <w14:solidFill>
                    <w14:schemeClr w14:val="tx1"/>
                  </w14:solidFill>
                </w14:textFill>
              </w:rPr>
            </w:pPr>
          </w:p>
        </w:tc>
        <w:tc>
          <w:tcPr>
            <w:tcW w:w="1283" w:type="dxa"/>
          </w:tcPr>
          <w:p>
            <w:pPr>
              <w:tabs>
                <w:tab w:val="left" w:pos="3060"/>
              </w:tabs>
              <w:spacing w:before="20" w:after="20"/>
              <w:jc w:val="center"/>
              <w:rPr>
                <w:rFonts w:ascii="Cambria" w:hAnsi="Cambria" w:eastAsia="Times New Roman"/>
                <w:color w:val="000000" w:themeColor="text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8" w:type="dxa"/>
        </w:trPr>
        <w:tc>
          <w:tcPr>
            <w:tcW w:w="675" w:type="dxa"/>
          </w:tcPr>
          <w:p>
            <w:pPr>
              <w:tabs>
                <w:tab w:val="left" w:pos="3060"/>
              </w:tabs>
              <w:spacing w:before="20" w:after="20"/>
              <w:jc w:val="center"/>
              <w:rPr>
                <w:rFonts w:ascii="Cambria" w:hAnsi="Cambria" w:eastAsia="Times New Roman"/>
                <w:color w:val="000000" w:themeColor="text1"/>
                <w14:textFill>
                  <w14:solidFill>
                    <w14:schemeClr w14:val="tx1"/>
                  </w14:solidFill>
                </w14:textFill>
              </w:rPr>
            </w:pPr>
            <w:r>
              <w:rPr>
                <w:rFonts w:ascii="Cambria" w:hAnsi="Cambria" w:eastAsia="Times New Roman"/>
                <w:color w:val="000000" w:themeColor="text1"/>
                <w14:textFill>
                  <w14:solidFill>
                    <w14:schemeClr w14:val="tx1"/>
                  </w14:solidFill>
                </w14:textFill>
              </w:rPr>
              <w:t>3.</w:t>
            </w:r>
          </w:p>
        </w:tc>
        <w:tc>
          <w:tcPr>
            <w:tcW w:w="3181" w:type="dxa"/>
          </w:tcPr>
          <w:p>
            <w:pPr>
              <w:tabs>
                <w:tab w:val="left" w:pos="3060"/>
              </w:tabs>
              <w:spacing w:before="20" w:after="20"/>
              <w:jc w:val="both"/>
              <w:rPr>
                <w:rFonts w:ascii="Cambria" w:hAnsi="Cambria" w:eastAsia="Times New Roman"/>
                <w:color w:val="000000" w:themeColor="text1"/>
                <w14:textFill>
                  <w14:solidFill>
                    <w14:schemeClr w14:val="tx1"/>
                  </w14:solidFill>
                </w14:textFill>
              </w:rPr>
            </w:pPr>
            <w:r>
              <w:rPr>
                <w:rFonts w:ascii="Cambria" w:hAnsi="Cambria" w:eastAsia="Times New Roman"/>
                <w:color w:val="000000" w:themeColor="text1"/>
                <w14:textFill>
                  <w14:solidFill>
                    <w14:schemeClr w14:val="tx1"/>
                  </w14:solidFill>
                </w14:textFill>
              </w:rPr>
              <w:t>Meja</w:t>
            </w:r>
          </w:p>
        </w:tc>
        <w:tc>
          <w:tcPr>
            <w:tcW w:w="992" w:type="dxa"/>
          </w:tcPr>
          <w:p>
            <w:pPr>
              <w:tabs>
                <w:tab w:val="left" w:pos="3060"/>
              </w:tabs>
              <w:spacing w:before="20" w:after="20"/>
              <w:jc w:val="center"/>
              <w:rPr>
                <w:rFonts w:ascii="Cambria" w:hAnsi="Cambria" w:eastAsia="Times New Roman"/>
                <w:color w:val="000000" w:themeColor="text1"/>
                <w14:textFill>
                  <w14:solidFill>
                    <w14:schemeClr w14:val="tx1"/>
                  </w14:solidFill>
                </w14:textFill>
              </w:rPr>
            </w:pPr>
            <w:r>
              <w:rPr>
                <w:rFonts w:ascii="Cambria" w:hAnsi="Cambria" w:eastAsia="Times New Roman"/>
                <w:color w:val="000000" w:themeColor="text1"/>
                <w14:textFill>
                  <w14:solidFill>
                    <w14:schemeClr w14:val="tx1"/>
                  </w14:solidFill>
                </w14:textFill>
              </w:rPr>
              <w:t>unit</w:t>
            </w:r>
          </w:p>
        </w:tc>
        <w:tc>
          <w:tcPr>
            <w:tcW w:w="1276" w:type="dxa"/>
          </w:tcPr>
          <w:p>
            <w:pPr>
              <w:tabs>
                <w:tab w:val="left" w:pos="3060"/>
              </w:tabs>
              <w:spacing w:before="20" w:after="20"/>
              <w:jc w:val="center"/>
              <w:rPr>
                <w:rFonts w:hint="default" w:ascii="Cambria" w:hAnsi="Cambria" w:eastAsia="Times New Roman"/>
                <w:color w:val="000000" w:themeColor="text1"/>
                <w14:textFill>
                  <w14:solidFill>
                    <w14:schemeClr w14:val="tx1"/>
                  </w14:solidFill>
                </w14:textFill>
              </w:rPr>
            </w:pPr>
            <w:r>
              <w:rPr>
                <w:rFonts w:hint="default" w:ascii="Cambria" w:hAnsi="Cambria" w:eastAsia="Times New Roman"/>
                <w:color w:val="000000" w:themeColor="text1"/>
                <w14:textFill>
                  <w14:solidFill>
                    <w14:schemeClr w14:val="tx1"/>
                  </w14:solidFill>
                </w14:textFill>
              </w:rPr>
              <w:t>59</w:t>
            </w:r>
          </w:p>
        </w:tc>
        <w:tc>
          <w:tcPr>
            <w:tcW w:w="1281" w:type="dxa"/>
          </w:tcPr>
          <w:p>
            <w:pPr>
              <w:tabs>
                <w:tab w:val="left" w:pos="3060"/>
              </w:tabs>
              <w:spacing w:before="20" w:after="20"/>
              <w:jc w:val="center"/>
              <w:rPr>
                <w:rFonts w:ascii="Cambria" w:hAnsi="Cambria" w:eastAsia="Times New Roman"/>
                <w:color w:val="000000" w:themeColor="text1"/>
                <w14:textFill>
                  <w14:solidFill>
                    <w14:schemeClr w14:val="tx1"/>
                  </w14:solidFill>
                </w14:textFill>
              </w:rPr>
            </w:pPr>
          </w:p>
        </w:tc>
        <w:tc>
          <w:tcPr>
            <w:tcW w:w="1283" w:type="dxa"/>
          </w:tcPr>
          <w:p>
            <w:pPr>
              <w:tabs>
                <w:tab w:val="left" w:pos="3060"/>
              </w:tabs>
              <w:spacing w:before="20" w:after="20"/>
              <w:jc w:val="center"/>
              <w:rPr>
                <w:rFonts w:ascii="Cambria" w:hAnsi="Cambria" w:eastAsia="Times New Roman"/>
                <w:color w:val="000000" w:themeColor="text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8" w:type="dxa"/>
        </w:trPr>
        <w:tc>
          <w:tcPr>
            <w:tcW w:w="675" w:type="dxa"/>
          </w:tcPr>
          <w:p>
            <w:pPr>
              <w:tabs>
                <w:tab w:val="left" w:pos="3060"/>
              </w:tabs>
              <w:spacing w:before="20" w:after="20"/>
              <w:jc w:val="center"/>
              <w:rPr>
                <w:rFonts w:ascii="Cambria" w:hAnsi="Cambria" w:eastAsia="Times New Roman"/>
                <w:color w:val="000000" w:themeColor="text1"/>
                <w14:textFill>
                  <w14:solidFill>
                    <w14:schemeClr w14:val="tx1"/>
                  </w14:solidFill>
                </w14:textFill>
              </w:rPr>
            </w:pPr>
            <w:r>
              <w:rPr>
                <w:rFonts w:ascii="Cambria" w:hAnsi="Cambria" w:eastAsia="Times New Roman"/>
                <w:color w:val="000000" w:themeColor="text1"/>
                <w14:textFill>
                  <w14:solidFill>
                    <w14:schemeClr w14:val="tx1"/>
                  </w14:solidFill>
                </w14:textFill>
              </w:rPr>
              <w:t>4.</w:t>
            </w:r>
          </w:p>
        </w:tc>
        <w:tc>
          <w:tcPr>
            <w:tcW w:w="3181" w:type="dxa"/>
          </w:tcPr>
          <w:p>
            <w:pPr>
              <w:tabs>
                <w:tab w:val="left" w:pos="3060"/>
              </w:tabs>
              <w:spacing w:before="20" w:after="20"/>
              <w:jc w:val="both"/>
              <w:rPr>
                <w:rFonts w:ascii="Cambria" w:hAnsi="Cambria" w:eastAsia="Times New Roman"/>
                <w:color w:val="000000" w:themeColor="text1"/>
                <w14:textFill>
                  <w14:solidFill>
                    <w14:schemeClr w14:val="tx1"/>
                  </w14:solidFill>
                </w14:textFill>
              </w:rPr>
            </w:pPr>
            <w:r>
              <w:rPr>
                <w:rFonts w:ascii="Cambria" w:hAnsi="Cambria" w:eastAsia="Times New Roman"/>
                <w:color w:val="000000" w:themeColor="text1"/>
                <w14:textFill>
                  <w14:solidFill>
                    <w14:schemeClr w14:val="tx1"/>
                  </w14:solidFill>
                </w14:textFill>
              </w:rPr>
              <w:t>Kursi</w:t>
            </w:r>
          </w:p>
        </w:tc>
        <w:tc>
          <w:tcPr>
            <w:tcW w:w="992" w:type="dxa"/>
          </w:tcPr>
          <w:p>
            <w:pPr>
              <w:tabs>
                <w:tab w:val="left" w:pos="3060"/>
              </w:tabs>
              <w:spacing w:before="20" w:after="20"/>
              <w:jc w:val="center"/>
              <w:rPr>
                <w:rFonts w:ascii="Cambria" w:hAnsi="Cambria" w:eastAsia="Times New Roman"/>
                <w:color w:val="000000" w:themeColor="text1"/>
                <w14:textFill>
                  <w14:solidFill>
                    <w14:schemeClr w14:val="tx1"/>
                  </w14:solidFill>
                </w14:textFill>
              </w:rPr>
            </w:pPr>
            <w:r>
              <w:rPr>
                <w:rFonts w:ascii="Cambria" w:hAnsi="Cambria" w:eastAsia="Times New Roman"/>
                <w:color w:val="000000" w:themeColor="text1"/>
                <w14:textFill>
                  <w14:solidFill>
                    <w14:schemeClr w14:val="tx1"/>
                  </w14:solidFill>
                </w14:textFill>
              </w:rPr>
              <w:t>unit</w:t>
            </w:r>
          </w:p>
        </w:tc>
        <w:tc>
          <w:tcPr>
            <w:tcW w:w="1276" w:type="dxa"/>
          </w:tcPr>
          <w:p>
            <w:pPr>
              <w:tabs>
                <w:tab w:val="left" w:pos="3060"/>
              </w:tabs>
              <w:spacing w:before="20" w:after="20"/>
              <w:jc w:val="center"/>
              <w:rPr>
                <w:rFonts w:hint="default" w:ascii="Cambria" w:hAnsi="Cambria" w:eastAsia="Times New Roman"/>
                <w:color w:val="000000" w:themeColor="text1"/>
                <w14:textFill>
                  <w14:solidFill>
                    <w14:schemeClr w14:val="tx1"/>
                  </w14:solidFill>
                </w14:textFill>
              </w:rPr>
            </w:pPr>
            <w:r>
              <w:rPr>
                <w:rFonts w:ascii="Cambria" w:hAnsi="Cambria" w:eastAsia="Times New Roman"/>
                <w:color w:val="000000" w:themeColor="text1"/>
                <w14:textFill>
                  <w14:solidFill>
                    <w14:schemeClr w14:val="tx1"/>
                  </w14:solidFill>
                </w14:textFill>
              </w:rPr>
              <w:t>1</w:t>
            </w:r>
            <w:r>
              <w:rPr>
                <w:rFonts w:hint="default" w:ascii="Cambria" w:hAnsi="Cambria" w:eastAsia="Times New Roman"/>
                <w:color w:val="000000" w:themeColor="text1"/>
                <w14:textFill>
                  <w14:solidFill>
                    <w14:schemeClr w14:val="tx1"/>
                  </w14:solidFill>
                </w14:textFill>
              </w:rPr>
              <w:t>03</w:t>
            </w:r>
          </w:p>
        </w:tc>
        <w:tc>
          <w:tcPr>
            <w:tcW w:w="1281" w:type="dxa"/>
          </w:tcPr>
          <w:p>
            <w:pPr>
              <w:tabs>
                <w:tab w:val="left" w:pos="3060"/>
              </w:tabs>
              <w:spacing w:before="20" w:after="20"/>
              <w:jc w:val="both"/>
              <w:rPr>
                <w:rFonts w:ascii="Cambria" w:hAnsi="Cambria" w:eastAsia="Times New Roman"/>
                <w:color w:val="000000" w:themeColor="text1"/>
                <w14:textFill>
                  <w14:solidFill>
                    <w14:schemeClr w14:val="tx1"/>
                  </w14:solidFill>
                </w14:textFill>
              </w:rPr>
            </w:pPr>
          </w:p>
        </w:tc>
        <w:tc>
          <w:tcPr>
            <w:tcW w:w="1283" w:type="dxa"/>
          </w:tcPr>
          <w:p>
            <w:pPr>
              <w:tabs>
                <w:tab w:val="left" w:pos="3060"/>
              </w:tabs>
              <w:spacing w:before="20" w:after="20"/>
              <w:jc w:val="center"/>
              <w:rPr>
                <w:rFonts w:ascii="Cambria" w:hAnsi="Cambria" w:eastAsia="Times New Roman"/>
                <w:color w:val="000000" w:themeColor="text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8" w:type="dxa"/>
        </w:trPr>
        <w:tc>
          <w:tcPr>
            <w:tcW w:w="675" w:type="dxa"/>
          </w:tcPr>
          <w:p>
            <w:pPr>
              <w:tabs>
                <w:tab w:val="left" w:pos="3060"/>
              </w:tabs>
              <w:spacing w:before="20" w:after="20"/>
              <w:jc w:val="center"/>
              <w:rPr>
                <w:rFonts w:ascii="Cambria" w:hAnsi="Cambria" w:eastAsia="Times New Roman"/>
                <w:color w:val="000000" w:themeColor="text1"/>
                <w14:textFill>
                  <w14:solidFill>
                    <w14:schemeClr w14:val="tx1"/>
                  </w14:solidFill>
                </w14:textFill>
              </w:rPr>
            </w:pPr>
            <w:r>
              <w:rPr>
                <w:rFonts w:ascii="Cambria" w:hAnsi="Cambria" w:eastAsia="Times New Roman"/>
                <w:color w:val="000000" w:themeColor="text1"/>
                <w14:textFill>
                  <w14:solidFill>
                    <w14:schemeClr w14:val="tx1"/>
                  </w14:solidFill>
                </w14:textFill>
              </w:rPr>
              <w:t>5.</w:t>
            </w:r>
          </w:p>
        </w:tc>
        <w:tc>
          <w:tcPr>
            <w:tcW w:w="3181" w:type="dxa"/>
          </w:tcPr>
          <w:p>
            <w:pPr>
              <w:tabs>
                <w:tab w:val="left" w:pos="3060"/>
              </w:tabs>
              <w:spacing w:before="20" w:after="20"/>
              <w:jc w:val="both"/>
              <w:rPr>
                <w:rFonts w:ascii="Cambria" w:hAnsi="Cambria" w:eastAsia="Times New Roman"/>
                <w:color w:val="000000" w:themeColor="text1"/>
                <w14:textFill>
                  <w14:solidFill>
                    <w14:schemeClr w14:val="tx1"/>
                  </w14:solidFill>
                </w14:textFill>
              </w:rPr>
            </w:pPr>
            <w:r>
              <w:rPr>
                <w:rFonts w:ascii="Cambria" w:hAnsi="Cambria" w:eastAsia="Times New Roman"/>
                <w:color w:val="000000" w:themeColor="text1"/>
                <w14:textFill>
                  <w14:solidFill>
                    <w14:schemeClr w14:val="tx1"/>
                  </w14:solidFill>
                </w14:textFill>
              </w:rPr>
              <w:t>Lemari</w:t>
            </w:r>
          </w:p>
        </w:tc>
        <w:tc>
          <w:tcPr>
            <w:tcW w:w="992" w:type="dxa"/>
          </w:tcPr>
          <w:p>
            <w:pPr>
              <w:tabs>
                <w:tab w:val="left" w:pos="3060"/>
              </w:tabs>
              <w:spacing w:before="20" w:after="20"/>
              <w:jc w:val="center"/>
              <w:rPr>
                <w:rFonts w:ascii="Cambria" w:hAnsi="Cambria" w:eastAsia="Times New Roman"/>
                <w:color w:val="000000" w:themeColor="text1"/>
                <w14:textFill>
                  <w14:solidFill>
                    <w14:schemeClr w14:val="tx1"/>
                  </w14:solidFill>
                </w14:textFill>
              </w:rPr>
            </w:pPr>
            <w:r>
              <w:rPr>
                <w:rFonts w:ascii="Cambria" w:hAnsi="Cambria" w:eastAsia="Times New Roman"/>
                <w:color w:val="000000" w:themeColor="text1"/>
                <w14:textFill>
                  <w14:solidFill>
                    <w14:schemeClr w14:val="tx1"/>
                  </w14:solidFill>
                </w14:textFill>
              </w:rPr>
              <w:t>unit</w:t>
            </w:r>
          </w:p>
        </w:tc>
        <w:tc>
          <w:tcPr>
            <w:tcW w:w="1276" w:type="dxa"/>
          </w:tcPr>
          <w:p>
            <w:pPr>
              <w:tabs>
                <w:tab w:val="left" w:pos="3060"/>
              </w:tabs>
              <w:spacing w:before="20" w:after="20"/>
              <w:jc w:val="center"/>
              <w:rPr>
                <w:rFonts w:hint="default" w:ascii="Cambria" w:hAnsi="Cambria" w:eastAsia="Times New Roman"/>
                <w:color w:val="000000" w:themeColor="text1"/>
                <w14:textFill>
                  <w14:solidFill>
                    <w14:schemeClr w14:val="tx1"/>
                  </w14:solidFill>
                </w14:textFill>
              </w:rPr>
            </w:pPr>
            <w:r>
              <w:rPr>
                <w:rFonts w:hint="default" w:ascii="Cambria" w:hAnsi="Cambria" w:eastAsia="Times New Roman"/>
                <w:color w:val="000000" w:themeColor="text1"/>
                <w14:textFill>
                  <w14:solidFill>
                    <w14:schemeClr w14:val="tx1"/>
                  </w14:solidFill>
                </w14:textFill>
              </w:rPr>
              <w:t>17</w:t>
            </w:r>
          </w:p>
        </w:tc>
        <w:tc>
          <w:tcPr>
            <w:tcW w:w="1281" w:type="dxa"/>
          </w:tcPr>
          <w:p>
            <w:pPr>
              <w:tabs>
                <w:tab w:val="left" w:pos="3060"/>
              </w:tabs>
              <w:spacing w:before="20" w:after="20"/>
              <w:jc w:val="center"/>
              <w:rPr>
                <w:rFonts w:ascii="Cambria" w:hAnsi="Cambria" w:eastAsia="Times New Roman"/>
                <w:color w:val="000000" w:themeColor="text1"/>
                <w14:textFill>
                  <w14:solidFill>
                    <w14:schemeClr w14:val="tx1"/>
                  </w14:solidFill>
                </w14:textFill>
              </w:rPr>
            </w:pPr>
          </w:p>
        </w:tc>
        <w:tc>
          <w:tcPr>
            <w:tcW w:w="1283" w:type="dxa"/>
          </w:tcPr>
          <w:p>
            <w:pPr>
              <w:tabs>
                <w:tab w:val="left" w:pos="3060"/>
              </w:tabs>
              <w:spacing w:before="20" w:after="20"/>
              <w:jc w:val="center"/>
              <w:rPr>
                <w:rFonts w:ascii="Cambria" w:hAnsi="Cambria" w:eastAsia="Times New Roman"/>
                <w:color w:val="000000" w:themeColor="text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8" w:type="dxa"/>
        </w:trPr>
        <w:tc>
          <w:tcPr>
            <w:tcW w:w="675" w:type="dxa"/>
          </w:tcPr>
          <w:p>
            <w:pPr>
              <w:tabs>
                <w:tab w:val="left" w:pos="3060"/>
              </w:tabs>
              <w:spacing w:before="20" w:after="20"/>
              <w:jc w:val="center"/>
              <w:rPr>
                <w:rFonts w:ascii="Cambria" w:hAnsi="Cambria" w:eastAsia="Times New Roman"/>
                <w:color w:val="000000" w:themeColor="text1"/>
                <w14:textFill>
                  <w14:solidFill>
                    <w14:schemeClr w14:val="tx1"/>
                  </w14:solidFill>
                </w14:textFill>
              </w:rPr>
            </w:pPr>
            <w:r>
              <w:rPr>
                <w:rFonts w:ascii="Cambria" w:hAnsi="Cambria" w:eastAsia="Times New Roman"/>
                <w:color w:val="000000" w:themeColor="text1"/>
                <w14:textFill>
                  <w14:solidFill>
                    <w14:schemeClr w14:val="tx1"/>
                  </w14:solidFill>
                </w14:textFill>
              </w:rPr>
              <w:t>6.</w:t>
            </w:r>
          </w:p>
        </w:tc>
        <w:tc>
          <w:tcPr>
            <w:tcW w:w="3181" w:type="dxa"/>
          </w:tcPr>
          <w:p>
            <w:pPr>
              <w:tabs>
                <w:tab w:val="left" w:pos="3060"/>
              </w:tabs>
              <w:spacing w:before="20" w:after="20"/>
              <w:jc w:val="both"/>
              <w:rPr>
                <w:rFonts w:ascii="Cambria" w:hAnsi="Cambria" w:eastAsia="Times New Roman"/>
                <w:color w:val="000000" w:themeColor="text1"/>
                <w14:textFill>
                  <w14:solidFill>
                    <w14:schemeClr w14:val="tx1"/>
                  </w14:solidFill>
                </w14:textFill>
              </w:rPr>
            </w:pPr>
            <w:r>
              <w:rPr>
                <w:rFonts w:ascii="Cambria" w:hAnsi="Cambria" w:eastAsia="Times New Roman"/>
                <w:color w:val="000000" w:themeColor="text1"/>
                <w14:textFill>
                  <w14:solidFill>
                    <w14:schemeClr w14:val="tx1"/>
                  </w14:solidFill>
                </w14:textFill>
              </w:rPr>
              <w:t>Televisi</w:t>
            </w:r>
          </w:p>
        </w:tc>
        <w:tc>
          <w:tcPr>
            <w:tcW w:w="992" w:type="dxa"/>
          </w:tcPr>
          <w:p>
            <w:pPr>
              <w:tabs>
                <w:tab w:val="left" w:pos="3060"/>
              </w:tabs>
              <w:spacing w:before="20" w:after="20"/>
              <w:jc w:val="center"/>
              <w:rPr>
                <w:rFonts w:ascii="Cambria" w:hAnsi="Cambria" w:eastAsia="Times New Roman"/>
                <w:color w:val="000000" w:themeColor="text1"/>
                <w14:textFill>
                  <w14:solidFill>
                    <w14:schemeClr w14:val="tx1"/>
                  </w14:solidFill>
                </w14:textFill>
              </w:rPr>
            </w:pPr>
            <w:r>
              <w:rPr>
                <w:rFonts w:ascii="Cambria" w:hAnsi="Cambria" w:eastAsia="Times New Roman"/>
                <w:color w:val="000000" w:themeColor="text1"/>
                <w14:textFill>
                  <w14:solidFill>
                    <w14:schemeClr w14:val="tx1"/>
                  </w14:solidFill>
                </w14:textFill>
              </w:rPr>
              <w:t>unit</w:t>
            </w:r>
          </w:p>
        </w:tc>
        <w:tc>
          <w:tcPr>
            <w:tcW w:w="1276" w:type="dxa"/>
          </w:tcPr>
          <w:p>
            <w:pPr>
              <w:tabs>
                <w:tab w:val="left" w:pos="3060"/>
              </w:tabs>
              <w:spacing w:before="20" w:after="20"/>
              <w:jc w:val="center"/>
              <w:rPr>
                <w:rFonts w:ascii="Cambria" w:hAnsi="Cambria" w:eastAsia="Times New Roman"/>
                <w:color w:val="000000" w:themeColor="text1"/>
                <w14:textFill>
                  <w14:solidFill>
                    <w14:schemeClr w14:val="tx1"/>
                  </w14:solidFill>
                </w14:textFill>
              </w:rPr>
            </w:pPr>
            <w:r>
              <w:rPr>
                <w:rFonts w:ascii="Cambria" w:hAnsi="Cambria" w:eastAsia="Times New Roman"/>
                <w:color w:val="000000" w:themeColor="text1"/>
                <w14:textFill>
                  <w14:solidFill>
                    <w14:schemeClr w14:val="tx1"/>
                  </w14:solidFill>
                </w14:textFill>
              </w:rPr>
              <w:t>3</w:t>
            </w:r>
          </w:p>
        </w:tc>
        <w:tc>
          <w:tcPr>
            <w:tcW w:w="1281" w:type="dxa"/>
          </w:tcPr>
          <w:p>
            <w:pPr>
              <w:tabs>
                <w:tab w:val="left" w:pos="3060"/>
              </w:tabs>
              <w:spacing w:before="20" w:after="20"/>
              <w:jc w:val="center"/>
              <w:rPr>
                <w:rFonts w:ascii="Cambria" w:hAnsi="Cambria" w:eastAsia="Times New Roman"/>
                <w:color w:val="000000" w:themeColor="text1"/>
                <w14:textFill>
                  <w14:solidFill>
                    <w14:schemeClr w14:val="tx1"/>
                  </w14:solidFill>
                </w14:textFill>
              </w:rPr>
            </w:pPr>
          </w:p>
        </w:tc>
        <w:tc>
          <w:tcPr>
            <w:tcW w:w="1283" w:type="dxa"/>
          </w:tcPr>
          <w:p>
            <w:pPr>
              <w:tabs>
                <w:tab w:val="left" w:pos="3060"/>
              </w:tabs>
              <w:spacing w:before="20" w:after="20"/>
              <w:jc w:val="center"/>
              <w:rPr>
                <w:rFonts w:ascii="Cambria" w:hAnsi="Cambria" w:eastAsia="Times New Roman"/>
                <w:color w:val="000000" w:themeColor="text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8" w:type="dxa"/>
        </w:trPr>
        <w:tc>
          <w:tcPr>
            <w:tcW w:w="675" w:type="dxa"/>
          </w:tcPr>
          <w:p>
            <w:pPr>
              <w:tabs>
                <w:tab w:val="left" w:pos="3060"/>
              </w:tabs>
              <w:spacing w:before="20" w:after="20"/>
              <w:jc w:val="center"/>
              <w:rPr>
                <w:rFonts w:ascii="Cambria" w:hAnsi="Cambria" w:eastAsia="Times New Roman"/>
                <w:color w:val="000000" w:themeColor="text1"/>
                <w14:textFill>
                  <w14:solidFill>
                    <w14:schemeClr w14:val="tx1"/>
                  </w14:solidFill>
                </w14:textFill>
              </w:rPr>
            </w:pPr>
            <w:r>
              <w:rPr>
                <w:rFonts w:ascii="Cambria" w:hAnsi="Cambria" w:eastAsia="Times New Roman"/>
                <w:color w:val="000000" w:themeColor="text1"/>
                <w14:textFill>
                  <w14:solidFill>
                    <w14:schemeClr w14:val="tx1"/>
                  </w14:solidFill>
                </w14:textFill>
              </w:rPr>
              <w:t>7.</w:t>
            </w:r>
          </w:p>
        </w:tc>
        <w:tc>
          <w:tcPr>
            <w:tcW w:w="3181" w:type="dxa"/>
          </w:tcPr>
          <w:p>
            <w:pPr>
              <w:tabs>
                <w:tab w:val="left" w:pos="3060"/>
              </w:tabs>
              <w:spacing w:before="20" w:after="20"/>
              <w:jc w:val="both"/>
              <w:rPr>
                <w:rFonts w:ascii="Cambria" w:hAnsi="Cambria" w:eastAsia="Times New Roman"/>
                <w:color w:val="000000" w:themeColor="text1"/>
                <w14:textFill>
                  <w14:solidFill>
                    <w14:schemeClr w14:val="tx1"/>
                  </w14:solidFill>
                </w14:textFill>
              </w:rPr>
            </w:pPr>
            <w:r>
              <w:rPr>
                <w:rFonts w:ascii="Cambria" w:hAnsi="Cambria" w:eastAsia="Times New Roman"/>
                <w:color w:val="000000" w:themeColor="text1"/>
                <w14:textFill>
                  <w14:solidFill>
                    <w14:schemeClr w14:val="tx1"/>
                  </w14:solidFill>
                </w14:textFill>
              </w:rPr>
              <w:t>Komputer PC</w:t>
            </w:r>
          </w:p>
        </w:tc>
        <w:tc>
          <w:tcPr>
            <w:tcW w:w="992" w:type="dxa"/>
          </w:tcPr>
          <w:p>
            <w:pPr>
              <w:tabs>
                <w:tab w:val="left" w:pos="3060"/>
              </w:tabs>
              <w:spacing w:before="20" w:after="20"/>
              <w:jc w:val="center"/>
              <w:rPr>
                <w:rFonts w:ascii="Cambria" w:hAnsi="Cambria" w:eastAsia="Times New Roman"/>
                <w:color w:val="000000" w:themeColor="text1"/>
                <w14:textFill>
                  <w14:solidFill>
                    <w14:schemeClr w14:val="tx1"/>
                  </w14:solidFill>
                </w14:textFill>
              </w:rPr>
            </w:pPr>
            <w:r>
              <w:rPr>
                <w:rFonts w:ascii="Cambria" w:hAnsi="Cambria" w:eastAsia="Times New Roman"/>
                <w:color w:val="000000" w:themeColor="text1"/>
                <w14:textFill>
                  <w14:solidFill>
                    <w14:schemeClr w14:val="tx1"/>
                  </w14:solidFill>
                </w14:textFill>
              </w:rPr>
              <w:t>unit</w:t>
            </w:r>
          </w:p>
        </w:tc>
        <w:tc>
          <w:tcPr>
            <w:tcW w:w="1276" w:type="dxa"/>
          </w:tcPr>
          <w:p>
            <w:pPr>
              <w:tabs>
                <w:tab w:val="left" w:pos="3060"/>
              </w:tabs>
              <w:spacing w:before="20" w:after="20"/>
              <w:jc w:val="center"/>
              <w:rPr>
                <w:rFonts w:hint="default" w:ascii="Cambria" w:hAnsi="Cambria" w:eastAsia="Times New Roman"/>
                <w:color w:val="000000" w:themeColor="text1"/>
                <w14:textFill>
                  <w14:solidFill>
                    <w14:schemeClr w14:val="tx1"/>
                  </w14:solidFill>
                </w14:textFill>
              </w:rPr>
            </w:pPr>
            <w:r>
              <w:rPr>
                <w:rFonts w:hint="default" w:ascii="Cambria" w:hAnsi="Cambria" w:eastAsia="Times New Roman"/>
                <w:color w:val="000000" w:themeColor="text1"/>
                <w14:textFill>
                  <w14:solidFill>
                    <w14:schemeClr w14:val="tx1"/>
                  </w14:solidFill>
                </w14:textFill>
              </w:rPr>
              <w:t>29</w:t>
            </w:r>
          </w:p>
        </w:tc>
        <w:tc>
          <w:tcPr>
            <w:tcW w:w="1281" w:type="dxa"/>
          </w:tcPr>
          <w:p>
            <w:pPr>
              <w:tabs>
                <w:tab w:val="left" w:pos="3060"/>
              </w:tabs>
              <w:spacing w:before="20" w:after="20"/>
              <w:jc w:val="center"/>
              <w:rPr>
                <w:rFonts w:ascii="Cambria" w:hAnsi="Cambria" w:eastAsia="Times New Roman"/>
                <w:color w:val="000000" w:themeColor="text1"/>
                <w14:textFill>
                  <w14:solidFill>
                    <w14:schemeClr w14:val="tx1"/>
                  </w14:solidFill>
                </w14:textFill>
              </w:rPr>
            </w:pPr>
          </w:p>
        </w:tc>
        <w:tc>
          <w:tcPr>
            <w:tcW w:w="1283" w:type="dxa"/>
          </w:tcPr>
          <w:p>
            <w:pPr>
              <w:tabs>
                <w:tab w:val="left" w:pos="3060"/>
              </w:tabs>
              <w:spacing w:before="20" w:after="20"/>
              <w:jc w:val="center"/>
              <w:rPr>
                <w:rFonts w:ascii="Cambria" w:hAnsi="Cambria" w:eastAsia="Times New Roman"/>
                <w:color w:val="000000" w:themeColor="text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8" w:type="dxa"/>
        </w:trPr>
        <w:tc>
          <w:tcPr>
            <w:tcW w:w="675" w:type="dxa"/>
          </w:tcPr>
          <w:p>
            <w:pPr>
              <w:tabs>
                <w:tab w:val="left" w:pos="3060"/>
              </w:tabs>
              <w:spacing w:before="20" w:after="20"/>
              <w:jc w:val="center"/>
              <w:rPr>
                <w:rFonts w:ascii="Cambria" w:hAnsi="Cambria" w:eastAsia="Times New Roman"/>
                <w:color w:val="000000" w:themeColor="text1"/>
                <w14:textFill>
                  <w14:solidFill>
                    <w14:schemeClr w14:val="tx1"/>
                  </w14:solidFill>
                </w14:textFill>
              </w:rPr>
            </w:pPr>
            <w:r>
              <w:rPr>
                <w:rFonts w:ascii="Cambria" w:hAnsi="Cambria" w:eastAsia="Times New Roman"/>
                <w:color w:val="000000" w:themeColor="text1"/>
                <w14:textFill>
                  <w14:solidFill>
                    <w14:schemeClr w14:val="tx1"/>
                  </w14:solidFill>
                </w14:textFill>
              </w:rPr>
              <w:t>8.</w:t>
            </w:r>
          </w:p>
        </w:tc>
        <w:tc>
          <w:tcPr>
            <w:tcW w:w="3181" w:type="dxa"/>
          </w:tcPr>
          <w:p>
            <w:pPr>
              <w:tabs>
                <w:tab w:val="left" w:pos="3060"/>
              </w:tabs>
              <w:spacing w:before="20" w:after="20"/>
              <w:jc w:val="both"/>
              <w:rPr>
                <w:rFonts w:ascii="Cambria" w:hAnsi="Cambria" w:eastAsia="Times New Roman"/>
                <w:color w:val="000000" w:themeColor="text1"/>
                <w14:textFill>
                  <w14:solidFill>
                    <w14:schemeClr w14:val="tx1"/>
                  </w14:solidFill>
                </w14:textFill>
              </w:rPr>
            </w:pPr>
            <w:r>
              <w:rPr>
                <w:rFonts w:ascii="Cambria" w:hAnsi="Cambria" w:eastAsia="Times New Roman"/>
                <w:color w:val="000000" w:themeColor="text1"/>
                <w14:textFill>
                  <w14:solidFill>
                    <w14:schemeClr w14:val="tx1"/>
                  </w14:solidFill>
                </w14:textFill>
              </w:rPr>
              <w:t>Notebook/Laptop</w:t>
            </w:r>
          </w:p>
        </w:tc>
        <w:tc>
          <w:tcPr>
            <w:tcW w:w="992" w:type="dxa"/>
          </w:tcPr>
          <w:p>
            <w:pPr>
              <w:tabs>
                <w:tab w:val="left" w:pos="3060"/>
              </w:tabs>
              <w:spacing w:before="20" w:after="20"/>
              <w:jc w:val="center"/>
              <w:rPr>
                <w:rFonts w:ascii="Cambria" w:hAnsi="Cambria" w:eastAsia="Times New Roman"/>
                <w:color w:val="000000" w:themeColor="text1"/>
                <w14:textFill>
                  <w14:solidFill>
                    <w14:schemeClr w14:val="tx1"/>
                  </w14:solidFill>
                </w14:textFill>
              </w:rPr>
            </w:pPr>
            <w:r>
              <w:rPr>
                <w:rFonts w:ascii="Cambria" w:hAnsi="Cambria" w:eastAsia="Times New Roman"/>
                <w:color w:val="000000" w:themeColor="text1"/>
                <w14:textFill>
                  <w14:solidFill>
                    <w14:schemeClr w14:val="tx1"/>
                  </w14:solidFill>
                </w14:textFill>
              </w:rPr>
              <w:t>unit</w:t>
            </w:r>
          </w:p>
        </w:tc>
        <w:tc>
          <w:tcPr>
            <w:tcW w:w="1276" w:type="dxa"/>
          </w:tcPr>
          <w:p>
            <w:pPr>
              <w:tabs>
                <w:tab w:val="left" w:pos="3060"/>
              </w:tabs>
              <w:spacing w:before="20" w:after="20"/>
              <w:jc w:val="center"/>
              <w:rPr>
                <w:rFonts w:hint="default" w:ascii="Cambria" w:hAnsi="Cambria" w:eastAsia="Times New Roman"/>
                <w:color w:val="000000" w:themeColor="text1"/>
                <w14:textFill>
                  <w14:solidFill>
                    <w14:schemeClr w14:val="tx1"/>
                  </w14:solidFill>
                </w14:textFill>
              </w:rPr>
            </w:pPr>
            <w:r>
              <w:rPr>
                <w:rFonts w:hint="default" w:ascii="Cambria" w:hAnsi="Cambria" w:eastAsia="Times New Roman"/>
                <w:color w:val="000000" w:themeColor="text1"/>
                <w14:textFill>
                  <w14:solidFill>
                    <w14:schemeClr w14:val="tx1"/>
                  </w14:solidFill>
                </w14:textFill>
              </w:rPr>
              <w:t>22</w:t>
            </w:r>
          </w:p>
        </w:tc>
        <w:tc>
          <w:tcPr>
            <w:tcW w:w="1281" w:type="dxa"/>
          </w:tcPr>
          <w:p>
            <w:pPr>
              <w:tabs>
                <w:tab w:val="left" w:pos="3060"/>
              </w:tabs>
              <w:spacing w:before="20" w:after="20"/>
              <w:jc w:val="center"/>
              <w:rPr>
                <w:rFonts w:ascii="Cambria" w:hAnsi="Cambria" w:eastAsia="Times New Roman"/>
                <w:color w:val="000000" w:themeColor="text1"/>
                <w14:textFill>
                  <w14:solidFill>
                    <w14:schemeClr w14:val="tx1"/>
                  </w14:solidFill>
                </w14:textFill>
              </w:rPr>
            </w:pPr>
          </w:p>
        </w:tc>
        <w:tc>
          <w:tcPr>
            <w:tcW w:w="1283" w:type="dxa"/>
          </w:tcPr>
          <w:p>
            <w:pPr>
              <w:tabs>
                <w:tab w:val="left" w:pos="3060"/>
              </w:tabs>
              <w:spacing w:before="20" w:after="20"/>
              <w:jc w:val="center"/>
              <w:rPr>
                <w:rFonts w:ascii="Cambria" w:hAnsi="Cambria" w:eastAsia="Times New Roman"/>
                <w:color w:val="000000" w:themeColor="text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8" w:type="dxa"/>
        </w:trPr>
        <w:tc>
          <w:tcPr>
            <w:tcW w:w="675" w:type="dxa"/>
          </w:tcPr>
          <w:p>
            <w:pPr>
              <w:tabs>
                <w:tab w:val="left" w:pos="3060"/>
              </w:tabs>
              <w:spacing w:before="20" w:after="20"/>
              <w:jc w:val="center"/>
              <w:rPr>
                <w:rFonts w:ascii="Cambria" w:hAnsi="Cambria" w:eastAsia="Times New Roman"/>
                <w:color w:val="000000" w:themeColor="text1"/>
                <w14:textFill>
                  <w14:solidFill>
                    <w14:schemeClr w14:val="tx1"/>
                  </w14:solidFill>
                </w14:textFill>
              </w:rPr>
            </w:pPr>
            <w:r>
              <w:rPr>
                <w:rFonts w:ascii="Cambria" w:hAnsi="Cambria" w:eastAsia="Times New Roman"/>
                <w:color w:val="000000" w:themeColor="text1"/>
                <w14:textFill>
                  <w14:solidFill>
                    <w14:schemeClr w14:val="tx1"/>
                  </w14:solidFill>
                </w14:textFill>
              </w:rPr>
              <w:t>9.</w:t>
            </w:r>
          </w:p>
        </w:tc>
        <w:tc>
          <w:tcPr>
            <w:tcW w:w="3181" w:type="dxa"/>
          </w:tcPr>
          <w:p>
            <w:pPr>
              <w:tabs>
                <w:tab w:val="left" w:pos="3060"/>
              </w:tabs>
              <w:spacing w:before="20" w:after="20"/>
              <w:jc w:val="both"/>
              <w:rPr>
                <w:rFonts w:ascii="Cambria" w:hAnsi="Cambria" w:eastAsia="Times New Roman"/>
                <w:color w:val="000000" w:themeColor="text1"/>
                <w14:textFill>
                  <w14:solidFill>
                    <w14:schemeClr w14:val="tx1"/>
                  </w14:solidFill>
                </w14:textFill>
              </w:rPr>
            </w:pPr>
            <w:r>
              <w:rPr>
                <w:rFonts w:ascii="Cambria" w:hAnsi="Cambria" w:eastAsia="Times New Roman"/>
                <w:color w:val="000000" w:themeColor="text1"/>
                <w14:textFill>
                  <w14:solidFill>
                    <w14:schemeClr w14:val="tx1"/>
                  </w14:solidFill>
                </w14:textFill>
              </w:rPr>
              <w:t>Printer</w:t>
            </w:r>
          </w:p>
        </w:tc>
        <w:tc>
          <w:tcPr>
            <w:tcW w:w="992" w:type="dxa"/>
          </w:tcPr>
          <w:p>
            <w:pPr>
              <w:tabs>
                <w:tab w:val="left" w:pos="3060"/>
              </w:tabs>
              <w:spacing w:before="20" w:after="20"/>
              <w:jc w:val="center"/>
              <w:rPr>
                <w:rFonts w:ascii="Cambria" w:hAnsi="Cambria" w:eastAsia="Times New Roman"/>
                <w:color w:val="000000" w:themeColor="text1"/>
                <w14:textFill>
                  <w14:solidFill>
                    <w14:schemeClr w14:val="tx1"/>
                  </w14:solidFill>
                </w14:textFill>
              </w:rPr>
            </w:pPr>
            <w:r>
              <w:rPr>
                <w:rFonts w:ascii="Cambria" w:hAnsi="Cambria" w:eastAsia="Times New Roman"/>
                <w:color w:val="000000" w:themeColor="text1"/>
                <w14:textFill>
                  <w14:solidFill>
                    <w14:schemeClr w14:val="tx1"/>
                  </w14:solidFill>
                </w14:textFill>
              </w:rPr>
              <w:t>unit</w:t>
            </w:r>
          </w:p>
        </w:tc>
        <w:tc>
          <w:tcPr>
            <w:tcW w:w="1276" w:type="dxa"/>
          </w:tcPr>
          <w:p>
            <w:pPr>
              <w:tabs>
                <w:tab w:val="left" w:pos="3060"/>
              </w:tabs>
              <w:spacing w:before="20" w:after="20"/>
              <w:jc w:val="center"/>
              <w:rPr>
                <w:rFonts w:hint="default" w:ascii="Cambria" w:hAnsi="Cambria" w:eastAsia="Times New Roman"/>
                <w:color w:val="000000" w:themeColor="text1"/>
                <w14:textFill>
                  <w14:solidFill>
                    <w14:schemeClr w14:val="tx1"/>
                  </w14:solidFill>
                </w14:textFill>
              </w:rPr>
            </w:pPr>
            <w:r>
              <w:rPr>
                <w:rFonts w:ascii="Cambria" w:hAnsi="Cambria" w:eastAsia="Times New Roman"/>
                <w:color w:val="000000" w:themeColor="text1"/>
                <w14:textFill>
                  <w14:solidFill>
                    <w14:schemeClr w14:val="tx1"/>
                  </w14:solidFill>
                </w14:textFill>
              </w:rPr>
              <w:t>3</w:t>
            </w:r>
            <w:r>
              <w:rPr>
                <w:rFonts w:hint="default" w:ascii="Cambria" w:hAnsi="Cambria" w:eastAsia="Times New Roman"/>
                <w:color w:val="000000" w:themeColor="text1"/>
                <w14:textFill>
                  <w14:solidFill>
                    <w14:schemeClr w14:val="tx1"/>
                  </w14:solidFill>
                </w14:textFill>
              </w:rPr>
              <w:t>3</w:t>
            </w:r>
          </w:p>
        </w:tc>
        <w:tc>
          <w:tcPr>
            <w:tcW w:w="1281" w:type="dxa"/>
          </w:tcPr>
          <w:p>
            <w:pPr>
              <w:tabs>
                <w:tab w:val="left" w:pos="3060"/>
              </w:tabs>
              <w:spacing w:before="20" w:after="20"/>
              <w:jc w:val="center"/>
              <w:rPr>
                <w:rFonts w:ascii="Cambria" w:hAnsi="Cambria" w:eastAsia="Times New Roman"/>
                <w:color w:val="000000" w:themeColor="text1"/>
                <w14:textFill>
                  <w14:solidFill>
                    <w14:schemeClr w14:val="tx1"/>
                  </w14:solidFill>
                </w14:textFill>
              </w:rPr>
            </w:pPr>
          </w:p>
        </w:tc>
        <w:tc>
          <w:tcPr>
            <w:tcW w:w="1283" w:type="dxa"/>
          </w:tcPr>
          <w:p>
            <w:pPr>
              <w:tabs>
                <w:tab w:val="left" w:pos="3060"/>
              </w:tabs>
              <w:spacing w:before="20" w:after="20"/>
              <w:jc w:val="center"/>
              <w:rPr>
                <w:rFonts w:ascii="Cambria" w:hAnsi="Cambria" w:eastAsia="Times New Roman"/>
                <w:color w:val="000000" w:themeColor="text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8" w:type="dxa"/>
        </w:trPr>
        <w:tc>
          <w:tcPr>
            <w:tcW w:w="675" w:type="dxa"/>
          </w:tcPr>
          <w:p>
            <w:pPr>
              <w:tabs>
                <w:tab w:val="left" w:pos="3060"/>
              </w:tabs>
              <w:spacing w:before="20" w:after="20"/>
              <w:jc w:val="center"/>
              <w:rPr>
                <w:rFonts w:ascii="Cambria" w:hAnsi="Cambria" w:eastAsia="Times New Roman"/>
                <w:color w:val="000000" w:themeColor="text1"/>
                <w14:textFill>
                  <w14:solidFill>
                    <w14:schemeClr w14:val="tx1"/>
                  </w14:solidFill>
                </w14:textFill>
              </w:rPr>
            </w:pPr>
            <w:r>
              <w:rPr>
                <w:rFonts w:ascii="Cambria" w:hAnsi="Cambria" w:eastAsia="Times New Roman"/>
                <w:color w:val="000000" w:themeColor="text1"/>
                <w14:textFill>
                  <w14:solidFill>
                    <w14:schemeClr w14:val="tx1"/>
                  </w14:solidFill>
                </w14:textFill>
              </w:rPr>
              <w:t>10.</w:t>
            </w:r>
          </w:p>
        </w:tc>
        <w:tc>
          <w:tcPr>
            <w:tcW w:w="3181" w:type="dxa"/>
          </w:tcPr>
          <w:p>
            <w:pPr>
              <w:tabs>
                <w:tab w:val="left" w:pos="3060"/>
              </w:tabs>
              <w:spacing w:before="20" w:after="20"/>
              <w:jc w:val="both"/>
              <w:rPr>
                <w:rFonts w:ascii="Cambria" w:hAnsi="Cambria" w:eastAsia="Times New Roman"/>
                <w:color w:val="000000" w:themeColor="text1"/>
                <w14:textFill>
                  <w14:solidFill>
                    <w14:schemeClr w14:val="tx1"/>
                  </w14:solidFill>
                </w14:textFill>
              </w:rPr>
            </w:pPr>
            <w:r>
              <w:rPr>
                <w:rFonts w:ascii="Cambria" w:hAnsi="Cambria" w:eastAsia="Times New Roman"/>
                <w:color w:val="000000" w:themeColor="text1"/>
                <w14:textFill>
                  <w14:solidFill>
                    <w14:schemeClr w14:val="tx1"/>
                  </w14:solidFill>
                </w14:textFill>
              </w:rPr>
              <w:t>Scanner</w:t>
            </w:r>
          </w:p>
        </w:tc>
        <w:tc>
          <w:tcPr>
            <w:tcW w:w="992" w:type="dxa"/>
          </w:tcPr>
          <w:p>
            <w:pPr>
              <w:tabs>
                <w:tab w:val="left" w:pos="3060"/>
              </w:tabs>
              <w:spacing w:before="20" w:after="20"/>
              <w:jc w:val="center"/>
              <w:rPr>
                <w:rFonts w:ascii="Cambria" w:hAnsi="Cambria" w:eastAsia="Times New Roman"/>
                <w:color w:val="000000" w:themeColor="text1"/>
                <w14:textFill>
                  <w14:solidFill>
                    <w14:schemeClr w14:val="tx1"/>
                  </w14:solidFill>
                </w14:textFill>
              </w:rPr>
            </w:pPr>
            <w:r>
              <w:rPr>
                <w:rFonts w:ascii="Cambria" w:hAnsi="Cambria" w:eastAsia="Times New Roman"/>
                <w:color w:val="000000" w:themeColor="text1"/>
                <w14:textFill>
                  <w14:solidFill>
                    <w14:schemeClr w14:val="tx1"/>
                  </w14:solidFill>
                </w14:textFill>
              </w:rPr>
              <w:t>unit</w:t>
            </w:r>
          </w:p>
        </w:tc>
        <w:tc>
          <w:tcPr>
            <w:tcW w:w="1276" w:type="dxa"/>
          </w:tcPr>
          <w:p>
            <w:pPr>
              <w:tabs>
                <w:tab w:val="left" w:pos="3060"/>
              </w:tabs>
              <w:spacing w:before="20" w:after="20"/>
              <w:jc w:val="center"/>
              <w:rPr>
                <w:rFonts w:hint="default" w:ascii="Cambria" w:hAnsi="Cambria" w:eastAsia="Times New Roman"/>
                <w:color w:val="000000" w:themeColor="text1"/>
                <w14:textFill>
                  <w14:solidFill>
                    <w14:schemeClr w14:val="tx1"/>
                  </w14:solidFill>
                </w14:textFill>
              </w:rPr>
            </w:pPr>
            <w:r>
              <w:rPr>
                <w:rFonts w:hint="default" w:ascii="Cambria" w:hAnsi="Cambria" w:eastAsia="Times New Roman"/>
                <w:color w:val="000000" w:themeColor="text1"/>
                <w14:textFill>
                  <w14:solidFill>
                    <w14:schemeClr w14:val="tx1"/>
                  </w14:solidFill>
                </w14:textFill>
              </w:rPr>
              <w:t>5</w:t>
            </w:r>
          </w:p>
        </w:tc>
        <w:tc>
          <w:tcPr>
            <w:tcW w:w="1281" w:type="dxa"/>
          </w:tcPr>
          <w:p>
            <w:pPr>
              <w:tabs>
                <w:tab w:val="left" w:pos="3060"/>
              </w:tabs>
              <w:spacing w:before="20" w:after="20"/>
              <w:jc w:val="center"/>
              <w:rPr>
                <w:rFonts w:ascii="Cambria" w:hAnsi="Cambria" w:eastAsia="Times New Roman"/>
                <w:color w:val="000000" w:themeColor="text1"/>
                <w14:textFill>
                  <w14:solidFill>
                    <w14:schemeClr w14:val="tx1"/>
                  </w14:solidFill>
                </w14:textFill>
              </w:rPr>
            </w:pPr>
          </w:p>
        </w:tc>
        <w:tc>
          <w:tcPr>
            <w:tcW w:w="1283" w:type="dxa"/>
          </w:tcPr>
          <w:p>
            <w:pPr>
              <w:tabs>
                <w:tab w:val="left" w:pos="3060"/>
              </w:tabs>
              <w:spacing w:before="20" w:after="20"/>
              <w:jc w:val="center"/>
              <w:rPr>
                <w:rFonts w:ascii="Cambria" w:hAnsi="Cambria" w:eastAsia="Times New Roman"/>
                <w:color w:val="000000" w:themeColor="text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8" w:type="dxa"/>
        </w:trPr>
        <w:tc>
          <w:tcPr>
            <w:tcW w:w="675" w:type="dxa"/>
          </w:tcPr>
          <w:p>
            <w:pPr>
              <w:tabs>
                <w:tab w:val="left" w:pos="3060"/>
              </w:tabs>
              <w:spacing w:before="20" w:after="20"/>
              <w:jc w:val="center"/>
              <w:rPr>
                <w:rFonts w:ascii="Cambria" w:hAnsi="Cambria" w:eastAsia="Times New Roman"/>
                <w:color w:val="000000" w:themeColor="text1"/>
                <w14:textFill>
                  <w14:solidFill>
                    <w14:schemeClr w14:val="tx1"/>
                  </w14:solidFill>
                </w14:textFill>
              </w:rPr>
            </w:pPr>
            <w:r>
              <w:rPr>
                <w:rFonts w:ascii="Cambria" w:hAnsi="Cambria" w:eastAsia="Times New Roman"/>
                <w:color w:val="000000" w:themeColor="text1"/>
                <w14:textFill>
                  <w14:solidFill>
                    <w14:schemeClr w14:val="tx1"/>
                  </w14:solidFill>
                </w14:textFill>
              </w:rPr>
              <w:t>11.</w:t>
            </w:r>
          </w:p>
        </w:tc>
        <w:tc>
          <w:tcPr>
            <w:tcW w:w="3181" w:type="dxa"/>
          </w:tcPr>
          <w:p>
            <w:pPr>
              <w:tabs>
                <w:tab w:val="left" w:pos="3060"/>
              </w:tabs>
              <w:spacing w:before="20" w:after="20"/>
              <w:jc w:val="both"/>
              <w:rPr>
                <w:rFonts w:ascii="Cambria" w:hAnsi="Cambria" w:eastAsia="Times New Roman"/>
                <w:color w:val="000000" w:themeColor="text1"/>
                <w14:textFill>
                  <w14:solidFill>
                    <w14:schemeClr w14:val="tx1"/>
                  </w14:solidFill>
                </w14:textFill>
              </w:rPr>
            </w:pPr>
            <w:r>
              <w:rPr>
                <w:rFonts w:ascii="Cambria" w:hAnsi="Cambria" w:eastAsia="Times New Roman"/>
                <w:color w:val="000000" w:themeColor="text1"/>
                <w14:textFill>
                  <w14:solidFill>
                    <w14:schemeClr w14:val="tx1"/>
                  </w14:solidFill>
                </w14:textFill>
              </w:rPr>
              <w:t>Camera</w:t>
            </w:r>
          </w:p>
        </w:tc>
        <w:tc>
          <w:tcPr>
            <w:tcW w:w="992" w:type="dxa"/>
          </w:tcPr>
          <w:p>
            <w:pPr>
              <w:tabs>
                <w:tab w:val="left" w:pos="3060"/>
              </w:tabs>
              <w:spacing w:before="20" w:after="20"/>
              <w:jc w:val="center"/>
              <w:rPr>
                <w:rFonts w:ascii="Cambria" w:hAnsi="Cambria" w:eastAsia="Times New Roman"/>
                <w:color w:val="000000" w:themeColor="text1"/>
                <w14:textFill>
                  <w14:solidFill>
                    <w14:schemeClr w14:val="tx1"/>
                  </w14:solidFill>
                </w14:textFill>
              </w:rPr>
            </w:pPr>
            <w:r>
              <w:rPr>
                <w:rFonts w:ascii="Cambria" w:hAnsi="Cambria" w:eastAsia="Times New Roman"/>
                <w:color w:val="000000" w:themeColor="text1"/>
                <w14:textFill>
                  <w14:solidFill>
                    <w14:schemeClr w14:val="tx1"/>
                  </w14:solidFill>
                </w14:textFill>
              </w:rPr>
              <w:t>unit</w:t>
            </w:r>
          </w:p>
        </w:tc>
        <w:tc>
          <w:tcPr>
            <w:tcW w:w="1276" w:type="dxa"/>
          </w:tcPr>
          <w:p>
            <w:pPr>
              <w:tabs>
                <w:tab w:val="left" w:pos="3060"/>
              </w:tabs>
              <w:spacing w:before="20" w:after="20"/>
              <w:jc w:val="center"/>
              <w:rPr>
                <w:rFonts w:hint="default" w:ascii="Cambria" w:hAnsi="Cambria" w:eastAsia="Times New Roman"/>
                <w:color w:val="000000" w:themeColor="text1"/>
                <w14:textFill>
                  <w14:solidFill>
                    <w14:schemeClr w14:val="tx1"/>
                  </w14:solidFill>
                </w14:textFill>
              </w:rPr>
            </w:pPr>
            <w:r>
              <w:rPr>
                <w:rFonts w:hint="default" w:ascii="Cambria" w:hAnsi="Cambria" w:eastAsia="Times New Roman"/>
                <w:color w:val="000000" w:themeColor="text1"/>
                <w14:textFill>
                  <w14:solidFill>
                    <w14:schemeClr w14:val="tx1"/>
                  </w14:solidFill>
                </w14:textFill>
              </w:rPr>
              <w:t>3</w:t>
            </w:r>
          </w:p>
        </w:tc>
        <w:tc>
          <w:tcPr>
            <w:tcW w:w="1281" w:type="dxa"/>
          </w:tcPr>
          <w:p>
            <w:pPr>
              <w:tabs>
                <w:tab w:val="left" w:pos="3060"/>
              </w:tabs>
              <w:spacing w:before="20" w:after="20"/>
              <w:jc w:val="center"/>
              <w:rPr>
                <w:rFonts w:ascii="Cambria" w:hAnsi="Cambria" w:eastAsia="Times New Roman"/>
                <w:color w:val="000000" w:themeColor="text1"/>
                <w14:textFill>
                  <w14:solidFill>
                    <w14:schemeClr w14:val="tx1"/>
                  </w14:solidFill>
                </w14:textFill>
              </w:rPr>
            </w:pPr>
          </w:p>
        </w:tc>
        <w:tc>
          <w:tcPr>
            <w:tcW w:w="1283" w:type="dxa"/>
          </w:tcPr>
          <w:p>
            <w:pPr>
              <w:tabs>
                <w:tab w:val="left" w:pos="3060"/>
              </w:tabs>
              <w:spacing w:before="20" w:after="20"/>
              <w:jc w:val="center"/>
              <w:rPr>
                <w:rFonts w:ascii="Cambria" w:hAnsi="Cambria" w:eastAsia="Times New Roman"/>
                <w:color w:val="000000" w:themeColor="text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8" w:type="dxa"/>
        </w:trPr>
        <w:tc>
          <w:tcPr>
            <w:tcW w:w="675" w:type="dxa"/>
          </w:tcPr>
          <w:p>
            <w:pPr>
              <w:tabs>
                <w:tab w:val="left" w:pos="3060"/>
              </w:tabs>
              <w:spacing w:before="20" w:after="20"/>
              <w:jc w:val="center"/>
              <w:rPr>
                <w:rFonts w:ascii="Cambria" w:hAnsi="Cambria" w:eastAsia="Times New Roman"/>
                <w:color w:val="000000" w:themeColor="text1"/>
                <w14:textFill>
                  <w14:solidFill>
                    <w14:schemeClr w14:val="tx1"/>
                  </w14:solidFill>
                </w14:textFill>
              </w:rPr>
            </w:pPr>
            <w:r>
              <w:rPr>
                <w:rFonts w:ascii="Cambria" w:hAnsi="Cambria" w:eastAsia="Times New Roman"/>
                <w:color w:val="000000" w:themeColor="text1"/>
                <w14:textFill>
                  <w14:solidFill>
                    <w14:schemeClr w14:val="tx1"/>
                  </w14:solidFill>
                </w14:textFill>
              </w:rPr>
              <w:t>12.</w:t>
            </w:r>
          </w:p>
        </w:tc>
        <w:tc>
          <w:tcPr>
            <w:tcW w:w="3181" w:type="dxa"/>
          </w:tcPr>
          <w:p>
            <w:pPr>
              <w:tabs>
                <w:tab w:val="left" w:pos="3060"/>
              </w:tabs>
              <w:spacing w:before="20" w:after="20"/>
              <w:jc w:val="both"/>
              <w:rPr>
                <w:rFonts w:ascii="Cambria" w:hAnsi="Cambria" w:eastAsia="Times New Roman"/>
                <w:color w:val="000000" w:themeColor="text1"/>
                <w14:textFill>
                  <w14:solidFill>
                    <w14:schemeClr w14:val="tx1"/>
                  </w14:solidFill>
                </w14:textFill>
              </w:rPr>
            </w:pPr>
            <w:r>
              <w:rPr>
                <w:rFonts w:ascii="Cambria" w:hAnsi="Cambria" w:eastAsia="Times New Roman"/>
                <w:color w:val="000000" w:themeColor="text1"/>
                <w14:textFill>
                  <w14:solidFill>
                    <w14:schemeClr w14:val="tx1"/>
                  </w14:solidFill>
                </w14:textFill>
              </w:rPr>
              <w:t>GPS</w:t>
            </w:r>
          </w:p>
        </w:tc>
        <w:tc>
          <w:tcPr>
            <w:tcW w:w="992" w:type="dxa"/>
          </w:tcPr>
          <w:p>
            <w:pPr>
              <w:tabs>
                <w:tab w:val="left" w:pos="3060"/>
              </w:tabs>
              <w:spacing w:before="20" w:after="20"/>
              <w:jc w:val="center"/>
              <w:rPr>
                <w:rFonts w:ascii="Cambria" w:hAnsi="Cambria" w:eastAsia="Times New Roman"/>
                <w:color w:val="000000" w:themeColor="text1"/>
                <w14:textFill>
                  <w14:solidFill>
                    <w14:schemeClr w14:val="tx1"/>
                  </w14:solidFill>
                </w14:textFill>
              </w:rPr>
            </w:pPr>
            <w:r>
              <w:rPr>
                <w:rFonts w:ascii="Cambria" w:hAnsi="Cambria" w:eastAsia="Times New Roman"/>
                <w:color w:val="000000" w:themeColor="text1"/>
                <w14:textFill>
                  <w14:solidFill>
                    <w14:schemeClr w14:val="tx1"/>
                  </w14:solidFill>
                </w14:textFill>
              </w:rPr>
              <w:t>unit</w:t>
            </w:r>
          </w:p>
        </w:tc>
        <w:tc>
          <w:tcPr>
            <w:tcW w:w="1276" w:type="dxa"/>
          </w:tcPr>
          <w:p>
            <w:pPr>
              <w:tabs>
                <w:tab w:val="left" w:pos="3060"/>
              </w:tabs>
              <w:spacing w:before="20" w:after="20"/>
              <w:jc w:val="center"/>
              <w:rPr>
                <w:rFonts w:ascii="Cambria" w:hAnsi="Cambria" w:eastAsia="Times New Roman"/>
                <w:color w:val="000000" w:themeColor="text1"/>
                <w14:textFill>
                  <w14:solidFill>
                    <w14:schemeClr w14:val="tx1"/>
                  </w14:solidFill>
                </w14:textFill>
              </w:rPr>
            </w:pPr>
            <w:r>
              <w:rPr>
                <w:rFonts w:ascii="Cambria" w:hAnsi="Cambria" w:eastAsia="Times New Roman"/>
                <w:color w:val="000000" w:themeColor="text1"/>
                <w14:textFill>
                  <w14:solidFill>
                    <w14:schemeClr w14:val="tx1"/>
                  </w14:solidFill>
                </w14:textFill>
              </w:rPr>
              <w:t>1</w:t>
            </w:r>
          </w:p>
        </w:tc>
        <w:tc>
          <w:tcPr>
            <w:tcW w:w="1281" w:type="dxa"/>
          </w:tcPr>
          <w:p>
            <w:pPr>
              <w:tabs>
                <w:tab w:val="left" w:pos="3060"/>
              </w:tabs>
              <w:spacing w:before="20" w:after="20"/>
              <w:jc w:val="center"/>
              <w:rPr>
                <w:rFonts w:ascii="Cambria" w:hAnsi="Cambria" w:eastAsia="Times New Roman"/>
                <w:color w:val="000000" w:themeColor="text1"/>
                <w14:textFill>
                  <w14:solidFill>
                    <w14:schemeClr w14:val="tx1"/>
                  </w14:solidFill>
                </w14:textFill>
              </w:rPr>
            </w:pPr>
          </w:p>
        </w:tc>
        <w:tc>
          <w:tcPr>
            <w:tcW w:w="1283" w:type="dxa"/>
          </w:tcPr>
          <w:p>
            <w:pPr>
              <w:tabs>
                <w:tab w:val="left" w:pos="3060"/>
              </w:tabs>
              <w:spacing w:before="20" w:after="20"/>
              <w:jc w:val="center"/>
              <w:rPr>
                <w:rFonts w:ascii="Cambria" w:hAnsi="Cambria" w:eastAsia="Times New Roman"/>
                <w:color w:val="000000" w:themeColor="text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8" w:type="dxa"/>
        </w:trPr>
        <w:tc>
          <w:tcPr>
            <w:tcW w:w="675" w:type="dxa"/>
          </w:tcPr>
          <w:p>
            <w:pPr>
              <w:tabs>
                <w:tab w:val="left" w:pos="3060"/>
              </w:tabs>
              <w:spacing w:before="20" w:after="20"/>
              <w:jc w:val="center"/>
              <w:rPr>
                <w:rFonts w:ascii="Cambria" w:hAnsi="Cambria" w:eastAsia="Times New Roman"/>
                <w:color w:val="000000" w:themeColor="text1"/>
                <w14:textFill>
                  <w14:solidFill>
                    <w14:schemeClr w14:val="tx1"/>
                  </w14:solidFill>
                </w14:textFill>
              </w:rPr>
            </w:pPr>
            <w:r>
              <w:rPr>
                <w:rFonts w:ascii="Cambria" w:hAnsi="Cambria" w:eastAsia="Times New Roman"/>
                <w:color w:val="000000" w:themeColor="text1"/>
                <w14:textFill>
                  <w14:solidFill>
                    <w14:schemeClr w14:val="tx1"/>
                  </w14:solidFill>
                </w14:textFill>
              </w:rPr>
              <w:t>13.</w:t>
            </w:r>
          </w:p>
        </w:tc>
        <w:tc>
          <w:tcPr>
            <w:tcW w:w="3181" w:type="dxa"/>
          </w:tcPr>
          <w:p>
            <w:pPr>
              <w:tabs>
                <w:tab w:val="left" w:pos="3060"/>
              </w:tabs>
              <w:spacing w:before="20" w:after="20"/>
              <w:jc w:val="both"/>
              <w:rPr>
                <w:rFonts w:ascii="Cambria" w:hAnsi="Cambria" w:eastAsia="Times New Roman"/>
                <w:color w:val="000000" w:themeColor="text1"/>
                <w14:textFill>
                  <w14:solidFill>
                    <w14:schemeClr w14:val="tx1"/>
                  </w14:solidFill>
                </w14:textFill>
              </w:rPr>
            </w:pPr>
            <w:r>
              <w:rPr>
                <w:rFonts w:ascii="Cambria" w:hAnsi="Cambria" w:eastAsia="Times New Roman"/>
                <w:color w:val="000000" w:themeColor="text1"/>
                <w14:textFill>
                  <w14:solidFill>
                    <w14:schemeClr w14:val="tx1"/>
                  </w14:solidFill>
                </w14:textFill>
              </w:rPr>
              <w:t>UPS</w:t>
            </w:r>
          </w:p>
        </w:tc>
        <w:tc>
          <w:tcPr>
            <w:tcW w:w="992" w:type="dxa"/>
          </w:tcPr>
          <w:p>
            <w:pPr>
              <w:tabs>
                <w:tab w:val="left" w:pos="3060"/>
              </w:tabs>
              <w:spacing w:before="20" w:after="20"/>
              <w:jc w:val="center"/>
              <w:rPr>
                <w:rFonts w:ascii="Cambria" w:hAnsi="Cambria" w:eastAsia="Times New Roman"/>
                <w:color w:val="000000" w:themeColor="text1"/>
                <w14:textFill>
                  <w14:solidFill>
                    <w14:schemeClr w14:val="tx1"/>
                  </w14:solidFill>
                </w14:textFill>
              </w:rPr>
            </w:pPr>
            <w:r>
              <w:rPr>
                <w:rFonts w:ascii="Cambria" w:hAnsi="Cambria" w:eastAsia="Times New Roman"/>
                <w:color w:val="000000" w:themeColor="text1"/>
                <w14:textFill>
                  <w14:solidFill>
                    <w14:schemeClr w14:val="tx1"/>
                  </w14:solidFill>
                </w14:textFill>
              </w:rPr>
              <w:t>unit</w:t>
            </w:r>
          </w:p>
        </w:tc>
        <w:tc>
          <w:tcPr>
            <w:tcW w:w="1276" w:type="dxa"/>
          </w:tcPr>
          <w:p>
            <w:pPr>
              <w:tabs>
                <w:tab w:val="left" w:pos="3060"/>
              </w:tabs>
              <w:spacing w:before="20" w:after="20"/>
              <w:jc w:val="center"/>
              <w:rPr>
                <w:rFonts w:hint="default" w:ascii="Cambria" w:hAnsi="Cambria" w:eastAsia="Times New Roman"/>
                <w:color w:val="000000" w:themeColor="text1"/>
                <w14:textFill>
                  <w14:solidFill>
                    <w14:schemeClr w14:val="tx1"/>
                  </w14:solidFill>
                </w14:textFill>
              </w:rPr>
            </w:pPr>
            <w:r>
              <w:rPr>
                <w:rFonts w:hint="default" w:ascii="Cambria" w:hAnsi="Cambria" w:eastAsia="Times New Roman"/>
                <w:color w:val="000000" w:themeColor="text1"/>
                <w14:textFill>
                  <w14:solidFill>
                    <w14:schemeClr w14:val="tx1"/>
                  </w14:solidFill>
                </w14:textFill>
              </w:rPr>
              <w:t>3</w:t>
            </w:r>
          </w:p>
        </w:tc>
        <w:tc>
          <w:tcPr>
            <w:tcW w:w="1281" w:type="dxa"/>
          </w:tcPr>
          <w:p>
            <w:pPr>
              <w:tabs>
                <w:tab w:val="left" w:pos="3060"/>
              </w:tabs>
              <w:spacing w:before="20" w:after="20"/>
              <w:jc w:val="center"/>
              <w:rPr>
                <w:rFonts w:hint="default" w:ascii="Cambria" w:hAnsi="Cambria" w:eastAsia="Times New Roman"/>
                <w:color w:val="000000" w:themeColor="text1"/>
                <w:lang w:val="en-US"/>
                <w14:textFill>
                  <w14:solidFill>
                    <w14:schemeClr w14:val="tx1"/>
                  </w14:solidFill>
                </w14:textFill>
              </w:rPr>
            </w:pPr>
          </w:p>
        </w:tc>
        <w:tc>
          <w:tcPr>
            <w:tcW w:w="1283" w:type="dxa"/>
          </w:tcPr>
          <w:p>
            <w:pPr>
              <w:tabs>
                <w:tab w:val="left" w:pos="3060"/>
              </w:tabs>
              <w:spacing w:before="20" w:after="20"/>
              <w:jc w:val="center"/>
              <w:rPr>
                <w:rFonts w:hint="default" w:ascii="Cambria" w:hAnsi="Cambria" w:eastAsia="Times New Roman"/>
                <w:color w:val="000000" w:themeColor="text1"/>
                <w:lang w:val="en-US"/>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8" w:type="dxa"/>
          <w:trHeight w:val="90" w:hRule="atLeast"/>
        </w:trPr>
        <w:tc>
          <w:tcPr>
            <w:tcW w:w="675" w:type="dxa"/>
          </w:tcPr>
          <w:p>
            <w:pPr>
              <w:tabs>
                <w:tab w:val="left" w:pos="3060"/>
              </w:tabs>
              <w:spacing w:before="20" w:after="20"/>
              <w:jc w:val="center"/>
              <w:rPr>
                <w:rFonts w:ascii="Cambria" w:hAnsi="Cambria" w:eastAsia="Times New Roman"/>
                <w:color w:val="000000" w:themeColor="text1"/>
                <w14:textFill>
                  <w14:solidFill>
                    <w14:schemeClr w14:val="tx1"/>
                  </w14:solidFill>
                </w14:textFill>
              </w:rPr>
            </w:pPr>
            <w:r>
              <w:rPr>
                <w:rFonts w:ascii="Cambria" w:hAnsi="Cambria" w:eastAsia="Times New Roman"/>
                <w:color w:val="000000" w:themeColor="text1"/>
                <w14:textFill>
                  <w14:solidFill>
                    <w14:schemeClr w14:val="tx1"/>
                  </w14:solidFill>
                </w14:textFill>
              </w:rPr>
              <w:t>14.</w:t>
            </w:r>
          </w:p>
        </w:tc>
        <w:tc>
          <w:tcPr>
            <w:tcW w:w="3181" w:type="dxa"/>
          </w:tcPr>
          <w:p>
            <w:pPr>
              <w:tabs>
                <w:tab w:val="left" w:pos="3060"/>
              </w:tabs>
              <w:spacing w:before="20" w:after="20"/>
              <w:jc w:val="both"/>
              <w:rPr>
                <w:rFonts w:ascii="Cambria" w:hAnsi="Cambria" w:eastAsia="Times New Roman"/>
                <w:color w:val="000000" w:themeColor="text1"/>
                <w14:textFill>
                  <w14:solidFill>
                    <w14:schemeClr w14:val="tx1"/>
                  </w14:solidFill>
                </w14:textFill>
              </w:rPr>
            </w:pPr>
            <w:r>
              <w:rPr>
                <w:rFonts w:ascii="Cambria" w:hAnsi="Cambria" w:eastAsia="Times New Roman"/>
                <w:color w:val="000000" w:themeColor="text1"/>
                <w14:textFill>
                  <w14:solidFill>
                    <w14:schemeClr w14:val="tx1"/>
                  </w14:solidFill>
                </w14:textFill>
              </w:rPr>
              <w:t>Router Wireless</w:t>
            </w:r>
          </w:p>
        </w:tc>
        <w:tc>
          <w:tcPr>
            <w:tcW w:w="992" w:type="dxa"/>
          </w:tcPr>
          <w:p>
            <w:pPr>
              <w:tabs>
                <w:tab w:val="left" w:pos="3060"/>
              </w:tabs>
              <w:spacing w:before="20" w:after="20"/>
              <w:jc w:val="center"/>
              <w:rPr>
                <w:rFonts w:ascii="Cambria" w:hAnsi="Cambria" w:eastAsia="Times New Roman"/>
                <w:color w:val="000000" w:themeColor="text1"/>
                <w14:textFill>
                  <w14:solidFill>
                    <w14:schemeClr w14:val="tx1"/>
                  </w14:solidFill>
                </w14:textFill>
              </w:rPr>
            </w:pPr>
            <w:r>
              <w:rPr>
                <w:rFonts w:ascii="Cambria" w:hAnsi="Cambria" w:eastAsia="Times New Roman"/>
                <w:color w:val="000000" w:themeColor="text1"/>
                <w14:textFill>
                  <w14:solidFill>
                    <w14:schemeClr w14:val="tx1"/>
                  </w14:solidFill>
                </w14:textFill>
              </w:rPr>
              <w:t>unit</w:t>
            </w:r>
          </w:p>
        </w:tc>
        <w:tc>
          <w:tcPr>
            <w:tcW w:w="1276" w:type="dxa"/>
          </w:tcPr>
          <w:p>
            <w:pPr>
              <w:tabs>
                <w:tab w:val="left" w:pos="3060"/>
              </w:tabs>
              <w:spacing w:before="20" w:after="20"/>
              <w:jc w:val="center"/>
              <w:rPr>
                <w:rFonts w:ascii="Cambria" w:hAnsi="Cambria" w:eastAsia="Times New Roman"/>
                <w:color w:val="000000" w:themeColor="text1"/>
                <w14:textFill>
                  <w14:solidFill>
                    <w14:schemeClr w14:val="tx1"/>
                  </w14:solidFill>
                </w14:textFill>
              </w:rPr>
            </w:pPr>
            <w:r>
              <w:rPr>
                <w:rFonts w:ascii="Cambria" w:hAnsi="Cambria" w:eastAsia="Times New Roman"/>
                <w:color w:val="000000" w:themeColor="text1"/>
                <w14:textFill>
                  <w14:solidFill>
                    <w14:schemeClr w14:val="tx1"/>
                  </w14:solidFill>
                </w14:textFill>
              </w:rPr>
              <w:t>2</w:t>
            </w:r>
          </w:p>
        </w:tc>
        <w:tc>
          <w:tcPr>
            <w:tcW w:w="1281" w:type="dxa"/>
          </w:tcPr>
          <w:p>
            <w:pPr>
              <w:tabs>
                <w:tab w:val="left" w:pos="3060"/>
              </w:tabs>
              <w:spacing w:before="20" w:after="20"/>
              <w:jc w:val="center"/>
              <w:rPr>
                <w:rFonts w:ascii="Cambria" w:hAnsi="Cambria" w:eastAsia="Times New Roman"/>
                <w:color w:val="000000" w:themeColor="text1"/>
                <w14:textFill>
                  <w14:solidFill>
                    <w14:schemeClr w14:val="tx1"/>
                  </w14:solidFill>
                </w14:textFill>
              </w:rPr>
            </w:pPr>
          </w:p>
        </w:tc>
        <w:tc>
          <w:tcPr>
            <w:tcW w:w="1283" w:type="dxa"/>
          </w:tcPr>
          <w:p>
            <w:pPr>
              <w:tabs>
                <w:tab w:val="left" w:pos="3060"/>
              </w:tabs>
              <w:spacing w:before="20" w:after="20"/>
              <w:jc w:val="center"/>
              <w:rPr>
                <w:rFonts w:ascii="Cambria" w:hAnsi="Cambria" w:eastAsia="Times New Roman"/>
                <w:color w:val="000000" w:themeColor="text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8" w:type="dxa"/>
        </w:trPr>
        <w:tc>
          <w:tcPr>
            <w:tcW w:w="675" w:type="dxa"/>
          </w:tcPr>
          <w:p>
            <w:pPr>
              <w:tabs>
                <w:tab w:val="left" w:pos="3060"/>
              </w:tabs>
              <w:spacing w:before="20" w:after="20"/>
              <w:jc w:val="center"/>
              <w:rPr>
                <w:rFonts w:ascii="Cambria" w:hAnsi="Cambria" w:eastAsia="Times New Roman"/>
                <w:color w:val="000000" w:themeColor="text1"/>
                <w14:textFill>
                  <w14:solidFill>
                    <w14:schemeClr w14:val="tx1"/>
                  </w14:solidFill>
                </w14:textFill>
              </w:rPr>
            </w:pPr>
            <w:r>
              <w:rPr>
                <w:rFonts w:ascii="Cambria" w:hAnsi="Cambria" w:eastAsia="Times New Roman"/>
                <w:color w:val="000000" w:themeColor="text1"/>
                <w14:textFill>
                  <w14:solidFill>
                    <w14:schemeClr w14:val="tx1"/>
                  </w14:solidFill>
                </w14:textFill>
              </w:rPr>
              <w:t>15.</w:t>
            </w:r>
          </w:p>
        </w:tc>
        <w:tc>
          <w:tcPr>
            <w:tcW w:w="3181" w:type="dxa"/>
          </w:tcPr>
          <w:p>
            <w:pPr>
              <w:tabs>
                <w:tab w:val="left" w:pos="3060"/>
              </w:tabs>
              <w:spacing w:before="20" w:after="20"/>
              <w:jc w:val="both"/>
              <w:rPr>
                <w:rFonts w:ascii="Cambria" w:hAnsi="Cambria" w:eastAsia="Times New Roman"/>
                <w:color w:val="000000" w:themeColor="text1"/>
                <w14:textFill>
                  <w14:solidFill>
                    <w14:schemeClr w14:val="tx1"/>
                  </w14:solidFill>
                </w14:textFill>
              </w:rPr>
            </w:pPr>
            <w:r>
              <w:rPr>
                <w:rFonts w:ascii="Cambria" w:hAnsi="Cambria" w:eastAsia="Times New Roman"/>
                <w:color w:val="000000" w:themeColor="text1"/>
                <w14:textFill>
                  <w14:solidFill>
                    <w14:schemeClr w14:val="tx1"/>
                  </w14:solidFill>
                </w14:textFill>
              </w:rPr>
              <w:t>Infocus Set</w:t>
            </w:r>
          </w:p>
        </w:tc>
        <w:tc>
          <w:tcPr>
            <w:tcW w:w="992" w:type="dxa"/>
          </w:tcPr>
          <w:p>
            <w:pPr>
              <w:tabs>
                <w:tab w:val="left" w:pos="3060"/>
              </w:tabs>
              <w:spacing w:before="20" w:after="20"/>
              <w:jc w:val="center"/>
              <w:rPr>
                <w:rFonts w:ascii="Cambria" w:hAnsi="Cambria" w:eastAsia="Times New Roman"/>
                <w:color w:val="000000" w:themeColor="text1"/>
                <w14:textFill>
                  <w14:solidFill>
                    <w14:schemeClr w14:val="tx1"/>
                  </w14:solidFill>
                </w14:textFill>
              </w:rPr>
            </w:pPr>
            <w:r>
              <w:rPr>
                <w:rFonts w:ascii="Cambria" w:hAnsi="Cambria" w:eastAsia="Times New Roman"/>
                <w:color w:val="000000" w:themeColor="text1"/>
                <w14:textFill>
                  <w14:solidFill>
                    <w14:schemeClr w14:val="tx1"/>
                  </w14:solidFill>
                </w14:textFill>
              </w:rPr>
              <w:t>unit</w:t>
            </w:r>
          </w:p>
        </w:tc>
        <w:tc>
          <w:tcPr>
            <w:tcW w:w="1276" w:type="dxa"/>
          </w:tcPr>
          <w:p>
            <w:pPr>
              <w:tabs>
                <w:tab w:val="left" w:pos="3060"/>
              </w:tabs>
              <w:spacing w:before="20" w:after="20"/>
              <w:jc w:val="center"/>
              <w:rPr>
                <w:rFonts w:ascii="Cambria" w:hAnsi="Cambria" w:eastAsia="Times New Roman"/>
                <w:color w:val="000000" w:themeColor="text1"/>
                <w14:textFill>
                  <w14:solidFill>
                    <w14:schemeClr w14:val="tx1"/>
                  </w14:solidFill>
                </w14:textFill>
              </w:rPr>
            </w:pPr>
            <w:r>
              <w:rPr>
                <w:rFonts w:ascii="Cambria" w:hAnsi="Cambria" w:eastAsia="Times New Roman"/>
                <w:color w:val="000000" w:themeColor="text1"/>
                <w14:textFill>
                  <w14:solidFill>
                    <w14:schemeClr w14:val="tx1"/>
                  </w14:solidFill>
                </w14:textFill>
              </w:rPr>
              <w:t>2</w:t>
            </w:r>
          </w:p>
        </w:tc>
        <w:tc>
          <w:tcPr>
            <w:tcW w:w="1281" w:type="dxa"/>
          </w:tcPr>
          <w:p>
            <w:pPr>
              <w:tabs>
                <w:tab w:val="left" w:pos="3060"/>
              </w:tabs>
              <w:spacing w:before="20" w:after="20"/>
              <w:jc w:val="center"/>
              <w:rPr>
                <w:rFonts w:ascii="Cambria" w:hAnsi="Cambria" w:eastAsia="Times New Roman"/>
                <w:color w:val="000000" w:themeColor="text1"/>
                <w14:textFill>
                  <w14:solidFill>
                    <w14:schemeClr w14:val="tx1"/>
                  </w14:solidFill>
                </w14:textFill>
              </w:rPr>
            </w:pPr>
          </w:p>
        </w:tc>
        <w:tc>
          <w:tcPr>
            <w:tcW w:w="1283" w:type="dxa"/>
          </w:tcPr>
          <w:p>
            <w:pPr>
              <w:tabs>
                <w:tab w:val="left" w:pos="3060"/>
              </w:tabs>
              <w:spacing w:before="20" w:after="20"/>
              <w:jc w:val="center"/>
              <w:rPr>
                <w:rFonts w:ascii="Cambria" w:hAnsi="Cambria" w:eastAsia="Times New Roman"/>
                <w:color w:val="000000" w:themeColor="text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8" w:type="dxa"/>
        </w:trPr>
        <w:tc>
          <w:tcPr>
            <w:tcW w:w="675" w:type="dxa"/>
          </w:tcPr>
          <w:p>
            <w:pPr>
              <w:tabs>
                <w:tab w:val="left" w:pos="3060"/>
              </w:tabs>
              <w:spacing w:before="20" w:after="20"/>
              <w:jc w:val="center"/>
              <w:rPr>
                <w:rFonts w:ascii="Cambria" w:hAnsi="Cambria" w:eastAsia="Times New Roman"/>
                <w:color w:val="000000" w:themeColor="text1"/>
                <w14:textFill>
                  <w14:solidFill>
                    <w14:schemeClr w14:val="tx1"/>
                  </w14:solidFill>
                </w14:textFill>
              </w:rPr>
            </w:pPr>
            <w:r>
              <w:rPr>
                <w:rFonts w:ascii="Cambria" w:hAnsi="Cambria" w:eastAsia="Times New Roman"/>
                <w:color w:val="000000" w:themeColor="text1"/>
                <w14:textFill>
                  <w14:solidFill>
                    <w14:schemeClr w14:val="tx1"/>
                  </w14:solidFill>
                </w14:textFill>
              </w:rPr>
              <w:t>1</w:t>
            </w:r>
            <w:r>
              <w:rPr>
                <w:rFonts w:hint="default" w:ascii="Cambria" w:hAnsi="Cambria" w:eastAsia="Times New Roman"/>
                <w:color w:val="000000" w:themeColor="text1"/>
                <w14:textFill>
                  <w14:solidFill>
                    <w14:schemeClr w14:val="tx1"/>
                  </w14:solidFill>
                </w14:textFill>
              </w:rPr>
              <w:t>6</w:t>
            </w:r>
            <w:r>
              <w:rPr>
                <w:rFonts w:ascii="Cambria" w:hAnsi="Cambria" w:eastAsia="Times New Roman"/>
                <w:color w:val="000000" w:themeColor="text1"/>
                <w14:textFill>
                  <w14:solidFill>
                    <w14:schemeClr w14:val="tx1"/>
                  </w14:solidFill>
                </w14:textFill>
              </w:rPr>
              <w:t>.</w:t>
            </w:r>
          </w:p>
        </w:tc>
        <w:tc>
          <w:tcPr>
            <w:tcW w:w="3181" w:type="dxa"/>
          </w:tcPr>
          <w:p>
            <w:pPr>
              <w:tabs>
                <w:tab w:val="left" w:pos="3060"/>
              </w:tabs>
              <w:spacing w:before="20" w:after="20"/>
              <w:jc w:val="both"/>
              <w:rPr>
                <w:rFonts w:ascii="Cambria" w:hAnsi="Cambria" w:eastAsia="Times New Roman"/>
                <w:color w:val="000000" w:themeColor="text1"/>
                <w14:textFill>
                  <w14:solidFill>
                    <w14:schemeClr w14:val="tx1"/>
                  </w14:solidFill>
                </w14:textFill>
              </w:rPr>
            </w:pPr>
            <w:r>
              <w:rPr>
                <w:rFonts w:ascii="Cambria" w:hAnsi="Cambria" w:eastAsia="Times New Roman"/>
                <w:color w:val="000000" w:themeColor="text1"/>
                <w14:textFill>
                  <w14:solidFill>
                    <w14:schemeClr w14:val="tx1"/>
                  </w14:solidFill>
                </w14:textFill>
              </w:rPr>
              <w:t>Lemari Es</w:t>
            </w:r>
          </w:p>
        </w:tc>
        <w:tc>
          <w:tcPr>
            <w:tcW w:w="992" w:type="dxa"/>
          </w:tcPr>
          <w:p>
            <w:pPr>
              <w:tabs>
                <w:tab w:val="left" w:pos="3060"/>
              </w:tabs>
              <w:spacing w:before="20" w:after="20"/>
              <w:jc w:val="center"/>
              <w:rPr>
                <w:rFonts w:ascii="Cambria" w:hAnsi="Cambria" w:eastAsia="Times New Roman"/>
                <w:color w:val="000000" w:themeColor="text1"/>
                <w14:textFill>
                  <w14:solidFill>
                    <w14:schemeClr w14:val="tx1"/>
                  </w14:solidFill>
                </w14:textFill>
              </w:rPr>
            </w:pPr>
            <w:r>
              <w:rPr>
                <w:rFonts w:ascii="Cambria" w:hAnsi="Cambria" w:eastAsia="Times New Roman"/>
                <w:color w:val="000000" w:themeColor="text1"/>
                <w14:textFill>
                  <w14:solidFill>
                    <w14:schemeClr w14:val="tx1"/>
                  </w14:solidFill>
                </w14:textFill>
              </w:rPr>
              <w:t>unit</w:t>
            </w:r>
          </w:p>
        </w:tc>
        <w:tc>
          <w:tcPr>
            <w:tcW w:w="1276" w:type="dxa"/>
          </w:tcPr>
          <w:p>
            <w:pPr>
              <w:tabs>
                <w:tab w:val="left" w:pos="3060"/>
              </w:tabs>
              <w:spacing w:before="20" w:after="20"/>
              <w:jc w:val="center"/>
              <w:rPr>
                <w:rFonts w:hint="default" w:ascii="Cambria" w:hAnsi="Cambria" w:eastAsia="Times New Roman"/>
                <w:color w:val="000000" w:themeColor="text1"/>
                <w14:textFill>
                  <w14:solidFill>
                    <w14:schemeClr w14:val="tx1"/>
                  </w14:solidFill>
                </w14:textFill>
              </w:rPr>
            </w:pPr>
            <w:r>
              <w:rPr>
                <w:rFonts w:hint="default" w:ascii="Cambria" w:hAnsi="Cambria" w:eastAsia="Times New Roman"/>
                <w:color w:val="000000" w:themeColor="text1"/>
                <w14:textFill>
                  <w14:solidFill>
                    <w14:schemeClr w14:val="tx1"/>
                  </w14:solidFill>
                </w14:textFill>
              </w:rPr>
              <w:t>2</w:t>
            </w:r>
          </w:p>
        </w:tc>
        <w:tc>
          <w:tcPr>
            <w:tcW w:w="1281" w:type="dxa"/>
          </w:tcPr>
          <w:p>
            <w:pPr>
              <w:tabs>
                <w:tab w:val="left" w:pos="3060"/>
              </w:tabs>
              <w:spacing w:before="20" w:after="20"/>
              <w:jc w:val="center"/>
              <w:rPr>
                <w:rFonts w:ascii="Cambria" w:hAnsi="Cambria" w:eastAsia="Times New Roman"/>
                <w:color w:val="000000" w:themeColor="text1"/>
                <w14:textFill>
                  <w14:solidFill>
                    <w14:schemeClr w14:val="tx1"/>
                  </w14:solidFill>
                </w14:textFill>
              </w:rPr>
            </w:pPr>
          </w:p>
        </w:tc>
        <w:tc>
          <w:tcPr>
            <w:tcW w:w="1283" w:type="dxa"/>
          </w:tcPr>
          <w:p>
            <w:pPr>
              <w:tabs>
                <w:tab w:val="left" w:pos="3060"/>
              </w:tabs>
              <w:spacing w:before="20" w:after="20"/>
              <w:jc w:val="center"/>
              <w:rPr>
                <w:rFonts w:ascii="Cambria" w:hAnsi="Cambria" w:eastAsia="Times New Roman"/>
                <w:color w:val="000000" w:themeColor="text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8" w:type="dxa"/>
        </w:trPr>
        <w:tc>
          <w:tcPr>
            <w:tcW w:w="675" w:type="dxa"/>
          </w:tcPr>
          <w:p>
            <w:pPr>
              <w:tabs>
                <w:tab w:val="left" w:pos="3060"/>
              </w:tabs>
              <w:spacing w:before="20" w:after="20"/>
              <w:jc w:val="center"/>
              <w:rPr>
                <w:rFonts w:ascii="Cambria" w:hAnsi="Cambria" w:eastAsia="Times New Roman"/>
                <w:color w:val="000000" w:themeColor="text1"/>
                <w14:textFill>
                  <w14:solidFill>
                    <w14:schemeClr w14:val="tx1"/>
                  </w14:solidFill>
                </w14:textFill>
              </w:rPr>
            </w:pPr>
            <w:r>
              <w:rPr>
                <w:rFonts w:ascii="Cambria" w:hAnsi="Cambria" w:eastAsia="Times New Roman"/>
                <w:color w:val="000000" w:themeColor="text1"/>
                <w14:textFill>
                  <w14:solidFill>
                    <w14:schemeClr w14:val="tx1"/>
                  </w14:solidFill>
                </w14:textFill>
              </w:rPr>
              <w:t>1</w:t>
            </w:r>
            <w:r>
              <w:rPr>
                <w:rFonts w:hint="default" w:ascii="Cambria" w:hAnsi="Cambria" w:eastAsia="Times New Roman"/>
                <w:color w:val="000000" w:themeColor="text1"/>
                <w14:textFill>
                  <w14:solidFill>
                    <w14:schemeClr w14:val="tx1"/>
                  </w14:solidFill>
                </w14:textFill>
              </w:rPr>
              <w:t>7</w:t>
            </w:r>
            <w:r>
              <w:rPr>
                <w:rFonts w:ascii="Cambria" w:hAnsi="Cambria" w:eastAsia="Times New Roman"/>
                <w:color w:val="000000" w:themeColor="text1"/>
                <w14:textFill>
                  <w14:solidFill>
                    <w14:schemeClr w14:val="tx1"/>
                  </w14:solidFill>
                </w14:textFill>
              </w:rPr>
              <w:t>.</w:t>
            </w:r>
          </w:p>
        </w:tc>
        <w:tc>
          <w:tcPr>
            <w:tcW w:w="3181" w:type="dxa"/>
          </w:tcPr>
          <w:p>
            <w:pPr>
              <w:tabs>
                <w:tab w:val="left" w:pos="3060"/>
              </w:tabs>
              <w:spacing w:before="20" w:after="20"/>
              <w:jc w:val="both"/>
              <w:rPr>
                <w:rFonts w:ascii="Cambria" w:hAnsi="Cambria" w:eastAsia="Times New Roman"/>
                <w:color w:val="000000" w:themeColor="text1"/>
                <w14:textFill>
                  <w14:solidFill>
                    <w14:schemeClr w14:val="tx1"/>
                  </w14:solidFill>
                </w14:textFill>
              </w:rPr>
            </w:pPr>
            <w:r>
              <w:rPr>
                <w:rFonts w:ascii="Cambria" w:hAnsi="Cambria" w:eastAsia="Times New Roman"/>
                <w:color w:val="000000" w:themeColor="text1"/>
                <w14:textFill>
                  <w14:solidFill>
                    <w14:schemeClr w14:val="tx1"/>
                  </w14:solidFill>
                </w14:textFill>
              </w:rPr>
              <w:t>AC</w:t>
            </w:r>
          </w:p>
        </w:tc>
        <w:tc>
          <w:tcPr>
            <w:tcW w:w="992" w:type="dxa"/>
          </w:tcPr>
          <w:p>
            <w:pPr>
              <w:tabs>
                <w:tab w:val="left" w:pos="3060"/>
              </w:tabs>
              <w:spacing w:before="20" w:after="20"/>
              <w:jc w:val="center"/>
              <w:rPr>
                <w:rFonts w:ascii="Cambria" w:hAnsi="Cambria" w:eastAsia="Times New Roman"/>
                <w:color w:val="000000" w:themeColor="text1"/>
                <w14:textFill>
                  <w14:solidFill>
                    <w14:schemeClr w14:val="tx1"/>
                  </w14:solidFill>
                </w14:textFill>
              </w:rPr>
            </w:pPr>
            <w:r>
              <w:rPr>
                <w:rFonts w:ascii="Cambria" w:hAnsi="Cambria" w:eastAsia="Times New Roman"/>
                <w:color w:val="000000" w:themeColor="text1"/>
                <w14:textFill>
                  <w14:solidFill>
                    <w14:schemeClr w14:val="tx1"/>
                  </w14:solidFill>
                </w14:textFill>
              </w:rPr>
              <w:t>unit</w:t>
            </w:r>
          </w:p>
        </w:tc>
        <w:tc>
          <w:tcPr>
            <w:tcW w:w="1276" w:type="dxa"/>
          </w:tcPr>
          <w:p>
            <w:pPr>
              <w:tabs>
                <w:tab w:val="left" w:pos="3060"/>
              </w:tabs>
              <w:spacing w:before="20" w:after="20"/>
              <w:jc w:val="center"/>
              <w:rPr>
                <w:rFonts w:hint="default" w:ascii="Cambria" w:hAnsi="Cambria" w:eastAsia="Times New Roman"/>
                <w:color w:val="000000" w:themeColor="text1"/>
                <w14:textFill>
                  <w14:solidFill>
                    <w14:schemeClr w14:val="tx1"/>
                  </w14:solidFill>
                </w14:textFill>
              </w:rPr>
            </w:pPr>
            <w:r>
              <w:rPr>
                <w:rFonts w:hint="default" w:ascii="Cambria" w:hAnsi="Cambria" w:eastAsia="Times New Roman"/>
                <w:color w:val="000000" w:themeColor="text1"/>
                <w14:textFill>
                  <w14:solidFill>
                    <w14:schemeClr w14:val="tx1"/>
                  </w14:solidFill>
                </w14:textFill>
              </w:rPr>
              <w:t>7</w:t>
            </w:r>
          </w:p>
        </w:tc>
        <w:tc>
          <w:tcPr>
            <w:tcW w:w="1281" w:type="dxa"/>
          </w:tcPr>
          <w:p>
            <w:pPr>
              <w:tabs>
                <w:tab w:val="left" w:pos="3060"/>
              </w:tabs>
              <w:spacing w:before="20" w:after="20"/>
              <w:jc w:val="center"/>
              <w:rPr>
                <w:rFonts w:ascii="Cambria" w:hAnsi="Cambria" w:eastAsia="Times New Roman"/>
                <w:color w:val="000000" w:themeColor="text1"/>
                <w14:textFill>
                  <w14:solidFill>
                    <w14:schemeClr w14:val="tx1"/>
                  </w14:solidFill>
                </w14:textFill>
              </w:rPr>
            </w:pPr>
          </w:p>
        </w:tc>
        <w:tc>
          <w:tcPr>
            <w:tcW w:w="1283" w:type="dxa"/>
          </w:tcPr>
          <w:p>
            <w:pPr>
              <w:tabs>
                <w:tab w:val="left" w:pos="3060"/>
              </w:tabs>
              <w:spacing w:before="20" w:after="20"/>
              <w:jc w:val="center"/>
              <w:rPr>
                <w:rFonts w:ascii="Cambria" w:hAnsi="Cambria" w:eastAsia="Times New Roman"/>
                <w:color w:val="000000" w:themeColor="text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8" w:type="dxa"/>
        </w:trPr>
        <w:tc>
          <w:tcPr>
            <w:tcW w:w="675" w:type="dxa"/>
          </w:tcPr>
          <w:p>
            <w:pPr>
              <w:tabs>
                <w:tab w:val="left" w:pos="3060"/>
              </w:tabs>
              <w:spacing w:before="20" w:after="20"/>
              <w:jc w:val="center"/>
              <w:rPr>
                <w:rFonts w:ascii="Cambria" w:hAnsi="Cambria" w:eastAsia="Times New Roman"/>
                <w:color w:val="000000" w:themeColor="text1"/>
                <w14:textFill>
                  <w14:solidFill>
                    <w14:schemeClr w14:val="tx1"/>
                  </w14:solidFill>
                </w14:textFill>
              </w:rPr>
            </w:pPr>
            <w:r>
              <w:rPr>
                <w:rFonts w:ascii="Cambria" w:hAnsi="Cambria" w:eastAsia="Times New Roman"/>
                <w:color w:val="000000" w:themeColor="text1"/>
                <w14:textFill>
                  <w14:solidFill>
                    <w14:schemeClr w14:val="tx1"/>
                  </w14:solidFill>
                </w14:textFill>
              </w:rPr>
              <w:t>1</w:t>
            </w:r>
            <w:r>
              <w:rPr>
                <w:rFonts w:hint="default" w:ascii="Cambria" w:hAnsi="Cambria" w:eastAsia="Times New Roman"/>
                <w:color w:val="000000" w:themeColor="text1"/>
                <w14:textFill>
                  <w14:solidFill>
                    <w14:schemeClr w14:val="tx1"/>
                  </w14:solidFill>
                </w14:textFill>
              </w:rPr>
              <w:t>8</w:t>
            </w:r>
            <w:r>
              <w:rPr>
                <w:rFonts w:ascii="Cambria" w:hAnsi="Cambria" w:eastAsia="Times New Roman"/>
                <w:color w:val="000000" w:themeColor="text1"/>
                <w14:textFill>
                  <w14:solidFill>
                    <w14:schemeClr w14:val="tx1"/>
                  </w14:solidFill>
                </w14:textFill>
              </w:rPr>
              <w:t>.</w:t>
            </w:r>
          </w:p>
        </w:tc>
        <w:tc>
          <w:tcPr>
            <w:tcW w:w="3181" w:type="dxa"/>
          </w:tcPr>
          <w:p>
            <w:pPr>
              <w:tabs>
                <w:tab w:val="left" w:pos="3060"/>
              </w:tabs>
              <w:spacing w:before="20" w:after="20"/>
              <w:jc w:val="both"/>
              <w:rPr>
                <w:rFonts w:ascii="Cambria" w:hAnsi="Cambria" w:eastAsia="Times New Roman"/>
                <w:color w:val="000000" w:themeColor="text1"/>
                <w14:textFill>
                  <w14:solidFill>
                    <w14:schemeClr w14:val="tx1"/>
                  </w14:solidFill>
                </w14:textFill>
              </w:rPr>
            </w:pPr>
            <w:r>
              <w:rPr>
                <w:rFonts w:ascii="Cambria" w:hAnsi="Cambria" w:eastAsia="Times New Roman"/>
                <w:color w:val="000000" w:themeColor="text1"/>
                <w14:textFill>
                  <w14:solidFill>
                    <w14:schemeClr w14:val="tx1"/>
                  </w14:solidFill>
                </w14:textFill>
              </w:rPr>
              <w:t>Mesin Tik</w:t>
            </w:r>
          </w:p>
        </w:tc>
        <w:tc>
          <w:tcPr>
            <w:tcW w:w="992" w:type="dxa"/>
          </w:tcPr>
          <w:p>
            <w:pPr>
              <w:tabs>
                <w:tab w:val="left" w:pos="3060"/>
              </w:tabs>
              <w:spacing w:before="20" w:after="20"/>
              <w:jc w:val="center"/>
              <w:rPr>
                <w:rFonts w:ascii="Cambria" w:hAnsi="Cambria" w:eastAsia="Times New Roman"/>
                <w:color w:val="000000" w:themeColor="text1"/>
                <w14:textFill>
                  <w14:solidFill>
                    <w14:schemeClr w14:val="tx1"/>
                  </w14:solidFill>
                </w14:textFill>
              </w:rPr>
            </w:pPr>
            <w:r>
              <w:rPr>
                <w:rFonts w:ascii="Cambria" w:hAnsi="Cambria" w:eastAsia="Times New Roman"/>
                <w:color w:val="000000" w:themeColor="text1"/>
                <w14:textFill>
                  <w14:solidFill>
                    <w14:schemeClr w14:val="tx1"/>
                  </w14:solidFill>
                </w14:textFill>
              </w:rPr>
              <w:t>unit</w:t>
            </w:r>
          </w:p>
        </w:tc>
        <w:tc>
          <w:tcPr>
            <w:tcW w:w="1276" w:type="dxa"/>
          </w:tcPr>
          <w:p>
            <w:pPr>
              <w:tabs>
                <w:tab w:val="left" w:pos="3060"/>
              </w:tabs>
              <w:spacing w:before="20" w:after="20"/>
              <w:jc w:val="center"/>
              <w:rPr>
                <w:rFonts w:hint="default" w:ascii="Cambria" w:hAnsi="Cambria" w:eastAsia="Times New Roman"/>
                <w:color w:val="000000" w:themeColor="text1"/>
                <w14:textFill>
                  <w14:solidFill>
                    <w14:schemeClr w14:val="tx1"/>
                  </w14:solidFill>
                </w14:textFill>
              </w:rPr>
            </w:pPr>
            <w:r>
              <w:rPr>
                <w:rFonts w:hint="default" w:ascii="Cambria" w:hAnsi="Cambria" w:eastAsia="Times New Roman"/>
                <w:color w:val="000000" w:themeColor="text1"/>
                <w14:textFill>
                  <w14:solidFill>
                    <w14:schemeClr w14:val="tx1"/>
                  </w14:solidFill>
                </w14:textFill>
              </w:rPr>
              <w:t>2</w:t>
            </w:r>
          </w:p>
        </w:tc>
        <w:tc>
          <w:tcPr>
            <w:tcW w:w="1281" w:type="dxa"/>
          </w:tcPr>
          <w:p>
            <w:pPr>
              <w:tabs>
                <w:tab w:val="left" w:pos="3060"/>
              </w:tabs>
              <w:spacing w:before="20" w:after="20"/>
              <w:jc w:val="center"/>
              <w:rPr>
                <w:rFonts w:ascii="Cambria" w:hAnsi="Cambria" w:eastAsia="Times New Roman"/>
                <w:color w:val="000000" w:themeColor="text1"/>
                <w14:textFill>
                  <w14:solidFill>
                    <w14:schemeClr w14:val="tx1"/>
                  </w14:solidFill>
                </w14:textFill>
              </w:rPr>
            </w:pPr>
          </w:p>
        </w:tc>
        <w:tc>
          <w:tcPr>
            <w:tcW w:w="1283" w:type="dxa"/>
          </w:tcPr>
          <w:p>
            <w:pPr>
              <w:tabs>
                <w:tab w:val="left" w:pos="3060"/>
              </w:tabs>
              <w:spacing w:before="20" w:after="20"/>
              <w:jc w:val="center"/>
              <w:rPr>
                <w:rFonts w:ascii="Cambria" w:hAnsi="Cambria" w:eastAsia="Times New Roman"/>
                <w:color w:val="000000" w:themeColor="text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8" w:type="dxa"/>
        </w:trPr>
        <w:tc>
          <w:tcPr>
            <w:tcW w:w="675" w:type="dxa"/>
          </w:tcPr>
          <w:p>
            <w:pPr>
              <w:tabs>
                <w:tab w:val="left" w:pos="3060"/>
              </w:tabs>
              <w:spacing w:before="20" w:after="20"/>
              <w:jc w:val="center"/>
              <w:rPr>
                <w:rFonts w:ascii="Cambria" w:hAnsi="Cambria" w:eastAsia="Times New Roman"/>
                <w:color w:val="000000" w:themeColor="text1"/>
                <w14:textFill>
                  <w14:solidFill>
                    <w14:schemeClr w14:val="tx1"/>
                  </w14:solidFill>
                </w14:textFill>
              </w:rPr>
            </w:pPr>
            <w:r>
              <w:rPr>
                <w:rFonts w:hint="default" w:ascii="Cambria" w:hAnsi="Cambria" w:eastAsia="Times New Roman"/>
                <w:color w:val="000000" w:themeColor="text1"/>
                <w14:textFill>
                  <w14:solidFill>
                    <w14:schemeClr w14:val="tx1"/>
                  </w14:solidFill>
                </w14:textFill>
              </w:rPr>
              <w:t>19</w:t>
            </w:r>
            <w:r>
              <w:rPr>
                <w:rFonts w:ascii="Cambria" w:hAnsi="Cambria" w:eastAsia="Times New Roman"/>
                <w:color w:val="000000" w:themeColor="text1"/>
                <w14:textFill>
                  <w14:solidFill>
                    <w14:schemeClr w14:val="tx1"/>
                  </w14:solidFill>
                </w14:textFill>
              </w:rPr>
              <w:t>.</w:t>
            </w:r>
          </w:p>
        </w:tc>
        <w:tc>
          <w:tcPr>
            <w:tcW w:w="3181" w:type="dxa"/>
          </w:tcPr>
          <w:p>
            <w:pPr>
              <w:tabs>
                <w:tab w:val="left" w:pos="3060"/>
              </w:tabs>
              <w:spacing w:before="20" w:after="20"/>
              <w:jc w:val="both"/>
              <w:rPr>
                <w:rFonts w:ascii="Cambria" w:hAnsi="Cambria" w:eastAsia="Times New Roman"/>
                <w:color w:val="000000" w:themeColor="text1"/>
                <w14:textFill>
                  <w14:solidFill>
                    <w14:schemeClr w14:val="tx1"/>
                  </w14:solidFill>
                </w14:textFill>
              </w:rPr>
            </w:pPr>
            <w:r>
              <w:rPr>
                <w:rFonts w:ascii="Cambria" w:hAnsi="Cambria" w:eastAsia="Times New Roman"/>
                <w:color w:val="000000" w:themeColor="text1"/>
                <w14:textFill>
                  <w14:solidFill>
                    <w14:schemeClr w14:val="tx1"/>
                  </w14:solidFill>
                </w14:textFill>
              </w:rPr>
              <w:t>Calculator</w:t>
            </w:r>
          </w:p>
        </w:tc>
        <w:tc>
          <w:tcPr>
            <w:tcW w:w="992" w:type="dxa"/>
          </w:tcPr>
          <w:p>
            <w:pPr>
              <w:tabs>
                <w:tab w:val="left" w:pos="3060"/>
              </w:tabs>
              <w:spacing w:before="20" w:after="20"/>
              <w:jc w:val="center"/>
              <w:rPr>
                <w:rFonts w:ascii="Cambria" w:hAnsi="Cambria" w:eastAsia="Times New Roman"/>
                <w:color w:val="000000" w:themeColor="text1"/>
                <w14:textFill>
                  <w14:solidFill>
                    <w14:schemeClr w14:val="tx1"/>
                  </w14:solidFill>
                </w14:textFill>
              </w:rPr>
            </w:pPr>
            <w:r>
              <w:rPr>
                <w:rFonts w:ascii="Cambria" w:hAnsi="Cambria" w:eastAsia="Times New Roman"/>
                <w:color w:val="000000" w:themeColor="text1"/>
                <w14:textFill>
                  <w14:solidFill>
                    <w14:schemeClr w14:val="tx1"/>
                  </w14:solidFill>
                </w14:textFill>
              </w:rPr>
              <w:t>unit</w:t>
            </w:r>
          </w:p>
        </w:tc>
        <w:tc>
          <w:tcPr>
            <w:tcW w:w="1276" w:type="dxa"/>
          </w:tcPr>
          <w:p>
            <w:pPr>
              <w:tabs>
                <w:tab w:val="left" w:pos="3060"/>
              </w:tabs>
              <w:spacing w:before="20" w:after="20"/>
              <w:jc w:val="center"/>
              <w:rPr>
                <w:rFonts w:hint="default" w:ascii="Cambria" w:hAnsi="Cambria" w:eastAsia="Times New Roman"/>
                <w:color w:val="000000" w:themeColor="text1"/>
                <w14:textFill>
                  <w14:solidFill>
                    <w14:schemeClr w14:val="tx1"/>
                  </w14:solidFill>
                </w14:textFill>
              </w:rPr>
            </w:pPr>
            <w:r>
              <w:rPr>
                <w:rFonts w:hint="default" w:ascii="Cambria" w:hAnsi="Cambria" w:eastAsia="Times New Roman"/>
                <w:color w:val="000000" w:themeColor="text1"/>
                <w14:textFill>
                  <w14:solidFill>
                    <w14:schemeClr w14:val="tx1"/>
                  </w14:solidFill>
                </w14:textFill>
              </w:rPr>
              <w:t>1</w:t>
            </w:r>
          </w:p>
        </w:tc>
        <w:tc>
          <w:tcPr>
            <w:tcW w:w="1281" w:type="dxa"/>
          </w:tcPr>
          <w:p>
            <w:pPr>
              <w:tabs>
                <w:tab w:val="left" w:pos="3060"/>
              </w:tabs>
              <w:spacing w:before="20" w:after="20"/>
              <w:jc w:val="center"/>
              <w:rPr>
                <w:rFonts w:ascii="Cambria" w:hAnsi="Cambria" w:eastAsia="Times New Roman"/>
                <w:color w:val="000000" w:themeColor="text1"/>
                <w14:textFill>
                  <w14:solidFill>
                    <w14:schemeClr w14:val="tx1"/>
                  </w14:solidFill>
                </w14:textFill>
              </w:rPr>
            </w:pPr>
          </w:p>
        </w:tc>
        <w:tc>
          <w:tcPr>
            <w:tcW w:w="1283" w:type="dxa"/>
          </w:tcPr>
          <w:p>
            <w:pPr>
              <w:tabs>
                <w:tab w:val="left" w:pos="3060"/>
              </w:tabs>
              <w:spacing w:before="20" w:after="20"/>
              <w:jc w:val="center"/>
              <w:rPr>
                <w:rFonts w:ascii="Cambria" w:hAnsi="Cambria" w:eastAsia="Times New Roman"/>
                <w:color w:val="000000" w:themeColor="text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8" w:type="dxa"/>
          <w:trHeight w:val="252" w:hRule="atLeast"/>
        </w:trPr>
        <w:tc>
          <w:tcPr>
            <w:tcW w:w="675" w:type="dxa"/>
          </w:tcPr>
          <w:p>
            <w:pPr>
              <w:tabs>
                <w:tab w:val="left" w:pos="3060"/>
              </w:tabs>
              <w:spacing w:before="20" w:after="20"/>
              <w:jc w:val="center"/>
              <w:rPr>
                <w:rFonts w:ascii="Cambria" w:hAnsi="Cambria" w:eastAsia="Times New Roman"/>
                <w:color w:val="000000" w:themeColor="text1"/>
                <w14:textFill>
                  <w14:solidFill>
                    <w14:schemeClr w14:val="tx1"/>
                  </w14:solidFill>
                </w14:textFill>
              </w:rPr>
            </w:pPr>
            <w:r>
              <w:rPr>
                <w:rFonts w:ascii="Cambria" w:hAnsi="Cambria" w:eastAsia="Times New Roman"/>
                <w:color w:val="000000" w:themeColor="text1"/>
                <w14:textFill>
                  <w14:solidFill>
                    <w14:schemeClr w14:val="tx1"/>
                  </w14:solidFill>
                </w14:textFill>
              </w:rPr>
              <w:t>2</w:t>
            </w:r>
            <w:r>
              <w:rPr>
                <w:rFonts w:hint="default" w:ascii="Cambria" w:hAnsi="Cambria" w:eastAsia="Times New Roman"/>
                <w:color w:val="000000" w:themeColor="text1"/>
                <w14:textFill>
                  <w14:solidFill>
                    <w14:schemeClr w14:val="tx1"/>
                  </w14:solidFill>
                </w14:textFill>
              </w:rPr>
              <w:t>0</w:t>
            </w:r>
            <w:r>
              <w:rPr>
                <w:rFonts w:ascii="Cambria" w:hAnsi="Cambria" w:eastAsia="Times New Roman"/>
                <w:color w:val="000000" w:themeColor="text1"/>
                <w14:textFill>
                  <w14:solidFill>
                    <w14:schemeClr w14:val="tx1"/>
                  </w14:solidFill>
                </w14:textFill>
              </w:rPr>
              <w:t>.</w:t>
            </w:r>
          </w:p>
        </w:tc>
        <w:tc>
          <w:tcPr>
            <w:tcW w:w="3181" w:type="dxa"/>
          </w:tcPr>
          <w:p>
            <w:pPr>
              <w:tabs>
                <w:tab w:val="left" w:pos="3060"/>
              </w:tabs>
              <w:spacing w:before="20" w:after="20"/>
              <w:jc w:val="both"/>
              <w:rPr>
                <w:rFonts w:ascii="Cambria" w:hAnsi="Cambria" w:eastAsia="Times New Roman"/>
                <w:color w:val="000000" w:themeColor="text1"/>
                <w14:textFill>
                  <w14:solidFill>
                    <w14:schemeClr w14:val="tx1"/>
                  </w14:solidFill>
                </w14:textFill>
              </w:rPr>
            </w:pPr>
            <w:r>
              <w:rPr>
                <w:rFonts w:ascii="Cambria" w:hAnsi="Cambria" w:eastAsia="Times New Roman"/>
                <w:color w:val="000000" w:themeColor="text1"/>
                <w14:textFill>
                  <w14:solidFill>
                    <w14:schemeClr w14:val="tx1"/>
                  </w14:solidFill>
                </w14:textFill>
              </w:rPr>
              <w:t>Brangkas</w:t>
            </w:r>
          </w:p>
        </w:tc>
        <w:tc>
          <w:tcPr>
            <w:tcW w:w="992" w:type="dxa"/>
          </w:tcPr>
          <w:p>
            <w:pPr>
              <w:tabs>
                <w:tab w:val="left" w:pos="3060"/>
              </w:tabs>
              <w:spacing w:before="20" w:after="20"/>
              <w:jc w:val="center"/>
              <w:rPr>
                <w:rFonts w:ascii="Cambria" w:hAnsi="Cambria" w:eastAsia="Times New Roman"/>
                <w:color w:val="000000" w:themeColor="text1"/>
                <w14:textFill>
                  <w14:solidFill>
                    <w14:schemeClr w14:val="tx1"/>
                  </w14:solidFill>
                </w14:textFill>
              </w:rPr>
            </w:pPr>
            <w:r>
              <w:rPr>
                <w:rFonts w:ascii="Cambria" w:hAnsi="Cambria" w:eastAsia="Times New Roman"/>
                <w:color w:val="000000" w:themeColor="text1"/>
                <w14:textFill>
                  <w14:solidFill>
                    <w14:schemeClr w14:val="tx1"/>
                  </w14:solidFill>
                </w14:textFill>
              </w:rPr>
              <w:t>unit</w:t>
            </w:r>
          </w:p>
        </w:tc>
        <w:tc>
          <w:tcPr>
            <w:tcW w:w="1276" w:type="dxa"/>
          </w:tcPr>
          <w:p>
            <w:pPr>
              <w:tabs>
                <w:tab w:val="left" w:pos="3060"/>
              </w:tabs>
              <w:spacing w:before="20" w:after="20"/>
              <w:jc w:val="center"/>
              <w:rPr>
                <w:rFonts w:hint="default" w:ascii="Cambria" w:hAnsi="Cambria" w:eastAsia="Times New Roman"/>
                <w:color w:val="000000" w:themeColor="text1"/>
                <w14:textFill>
                  <w14:solidFill>
                    <w14:schemeClr w14:val="tx1"/>
                  </w14:solidFill>
                </w14:textFill>
              </w:rPr>
            </w:pPr>
            <w:r>
              <w:rPr>
                <w:rFonts w:hint="default" w:ascii="Cambria" w:hAnsi="Cambria" w:eastAsia="Times New Roman"/>
                <w:color w:val="000000" w:themeColor="text1"/>
                <w14:textFill>
                  <w14:solidFill>
                    <w14:schemeClr w14:val="tx1"/>
                  </w14:solidFill>
                </w14:textFill>
              </w:rPr>
              <w:t>2</w:t>
            </w:r>
          </w:p>
        </w:tc>
        <w:tc>
          <w:tcPr>
            <w:tcW w:w="1281" w:type="dxa"/>
          </w:tcPr>
          <w:p>
            <w:pPr>
              <w:tabs>
                <w:tab w:val="left" w:pos="3060"/>
              </w:tabs>
              <w:spacing w:before="20" w:after="20"/>
              <w:jc w:val="center"/>
              <w:rPr>
                <w:rFonts w:ascii="Cambria" w:hAnsi="Cambria" w:eastAsia="Times New Roman"/>
                <w:color w:val="000000" w:themeColor="text1"/>
                <w14:textFill>
                  <w14:solidFill>
                    <w14:schemeClr w14:val="tx1"/>
                  </w14:solidFill>
                </w14:textFill>
              </w:rPr>
            </w:pPr>
          </w:p>
        </w:tc>
        <w:tc>
          <w:tcPr>
            <w:tcW w:w="1283" w:type="dxa"/>
          </w:tcPr>
          <w:p>
            <w:pPr>
              <w:tabs>
                <w:tab w:val="left" w:pos="3060"/>
              </w:tabs>
              <w:spacing w:before="20" w:after="20"/>
              <w:jc w:val="center"/>
              <w:rPr>
                <w:rFonts w:ascii="Cambria" w:hAnsi="Cambria" w:eastAsia="Times New Roman"/>
                <w:color w:val="000000" w:themeColor="text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8" w:type="dxa"/>
        </w:trPr>
        <w:tc>
          <w:tcPr>
            <w:tcW w:w="675" w:type="dxa"/>
          </w:tcPr>
          <w:p>
            <w:pPr>
              <w:tabs>
                <w:tab w:val="left" w:pos="3060"/>
              </w:tabs>
              <w:spacing w:before="20" w:after="20"/>
              <w:jc w:val="center"/>
              <w:rPr>
                <w:rFonts w:ascii="Cambria" w:hAnsi="Cambria" w:eastAsia="Times New Roman"/>
                <w:color w:val="000000" w:themeColor="text1"/>
                <w14:textFill>
                  <w14:solidFill>
                    <w14:schemeClr w14:val="tx1"/>
                  </w14:solidFill>
                </w14:textFill>
              </w:rPr>
            </w:pPr>
            <w:r>
              <w:rPr>
                <w:rFonts w:ascii="Cambria" w:hAnsi="Cambria" w:eastAsia="Times New Roman"/>
                <w:color w:val="000000" w:themeColor="text1"/>
                <w14:textFill>
                  <w14:solidFill>
                    <w14:schemeClr w14:val="tx1"/>
                  </w14:solidFill>
                </w14:textFill>
              </w:rPr>
              <w:t>2</w:t>
            </w:r>
            <w:r>
              <w:rPr>
                <w:rFonts w:hint="default" w:ascii="Cambria" w:hAnsi="Cambria" w:eastAsia="Times New Roman"/>
                <w:color w:val="000000" w:themeColor="text1"/>
                <w14:textFill>
                  <w14:solidFill>
                    <w14:schemeClr w14:val="tx1"/>
                  </w14:solidFill>
                </w14:textFill>
              </w:rPr>
              <w:t>1</w:t>
            </w:r>
            <w:r>
              <w:rPr>
                <w:rFonts w:ascii="Cambria" w:hAnsi="Cambria" w:eastAsia="Times New Roman"/>
                <w:color w:val="000000" w:themeColor="text1"/>
                <w14:textFill>
                  <w14:solidFill>
                    <w14:schemeClr w14:val="tx1"/>
                  </w14:solidFill>
                </w14:textFill>
              </w:rPr>
              <w:t>.</w:t>
            </w:r>
          </w:p>
        </w:tc>
        <w:tc>
          <w:tcPr>
            <w:tcW w:w="3181" w:type="dxa"/>
          </w:tcPr>
          <w:p>
            <w:pPr>
              <w:tabs>
                <w:tab w:val="left" w:pos="3060"/>
              </w:tabs>
              <w:spacing w:before="20" w:after="20"/>
              <w:jc w:val="both"/>
              <w:rPr>
                <w:rFonts w:ascii="Cambria" w:hAnsi="Cambria" w:eastAsia="Times New Roman"/>
                <w:color w:val="000000" w:themeColor="text1"/>
                <w14:textFill>
                  <w14:solidFill>
                    <w14:schemeClr w14:val="tx1"/>
                  </w14:solidFill>
                </w14:textFill>
              </w:rPr>
            </w:pPr>
            <w:r>
              <w:rPr>
                <w:rFonts w:ascii="Cambria" w:hAnsi="Cambria" w:eastAsia="Times New Roman"/>
                <w:color w:val="000000" w:themeColor="text1"/>
                <w14:textFill>
                  <w14:solidFill>
                    <w14:schemeClr w14:val="tx1"/>
                  </w14:solidFill>
                </w14:textFill>
              </w:rPr>
              <w:t>Faximilie</w:t>
            </w:r>
          </w:p>
        </w:tc>
        <w:tc>
          <w:tcPr>
            <w:tcW w:w="992" w:type="dxa"/>
          </w:tcPr>
          <w:p>
            <w:pPr>
              <w:tabs>
                <w:tab w:val="left" w:pos="3060"/>
              </w:tabs>
              <w:spacing w:before="20" w:after="20"/>
              <w:jc w:val="center"/>
              <w:rPr>
                <w:rFonts w:ascii="Cambria" w:hAnsi="Cambria" w:eastAsia="Times New Roman"/>
                <w:color w:val="000000" w:themeColor="text1"/>
                <w14:textFill>
                  <w14:solidFill>
                    <w14:schemeClr w14:val="tx1"/>
                  </w14:solidFill>
                </w14:textFill>
              </w:rPr>
            </w:pPr>
            <w:r>
              <w:rPr>
                <w:rFonts w:ascii="Cambria" w:hAnsi="Cambria" w:eastAsia="Times New Roman"/>
                <w:color w:val="000000" w:themeColor="text1"/>
                <w14:textFill>
                  <w14:solidFill>
                    <w14:schemeClr w14:val="tx1"/>
                  </w14:solidFill>
                </w14:textFill>
              </w:rPr>
              <w:t>unit</w:t>
            </w:r>
          </w:p>
        </w:tc>
        <w:tc>
          <w:tcPr>
            <w:tcW w:w="1276" w:type="dxa"/>
          </w:tcPr>
          <w:p>
            <w:pPr>
              <w:tabs>
                <w:tab w:val="left" w:pos="3060"/>
              </w:tabs>
              <w:spacing w:before="20" w:after="20"/>
              <w:jc w:val="center"/>
              <w:rPr>
                <w:rFonts w:ascii="Cambria" w:hAnsi="Cambria" w:eastAsia="Times New Roman"/>
                <w:color w:val="000000" w:themeColor="text1"/>
                <w14:textFill>
                  <w14:solidFill>
                    <w14:schemeClr w14:val="tx1"/>
                  </w14:solidFill>
                </w14:textFill>
              </w:rPr>
            </w:pPr>
            <w:r>
              <w:rPr>
                <w:rFonts w:ascii="Cambria" w:hAnsi="Cambria" w:eastAsia="Times New Roman"/>
                <w:color w:val="000000" w:themeColor="text1"/>
                <w14:textFill>
                  <w14:solidFill>
                    <w14:schemeClr w14:val="tx1"/>
                  </w14:solidFill>
                </w14:textFill>
              </w:rPr>
              <w:t>1</w:t>
            </w:r>
          </w:p>
        </w:tc>
        <w:tc>
          <w:tcPr>
            <w:tcW w:w="1281" w:type="dxa"/>
          </w:tcPr>
          <w:p>
            <w:pPr>
              <w:tabs>
                <w:tab w:val="left" w:pos="3060"/>
              </w:tabs>
              <w:spacing w:before="20" w:after="20"/>
              <w:jc w:val="center"/>
              <w:rPr>
                <w:rFonts w:ascii="Cambria" w:hAnsi="Cambria" w:eastAsia="Times New Roman"/>
                <w:color w:val="000000" w:themeColor="text1"/>
                <w14:textFill>
                  <w14:solidFill>
                    <w14:schemeClr w14:val="tx1"/>
                  </w14:solidFill>
                </w14:textFill>
              </w:rPr>
            </w:pPr>
          </w:p>
        </w:tc>
        <w:tc>
          <w:tcPr>
            <w:tcW w:w="1283" w:type="dxa"/>
          </w:tcPr>
          <w:p>
            <w:pPr>
              <w:tabs>
                <w:tab w:val="left" w:pos="3060"/>
              </w:tabs>
              <w:spacing w:before="20" w:after="20"/>
              <w:jc w:val="center"/>
              <w:rPr>
                <w:rFonts w:ascii="Cambria" w:hAnsi="Cambria" w:eastAsia="Times New Roman"/>
                <w:color w:val="000000" w:themeColor="text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8" w:type="dxa"/>
        </w:trPr>
        <w:tc>
          <w:tcPr>
            <w:tcW w:w="675" w:type="dxa"/>
          </w:tcPr>
          <w:p>
            <w:pPr>
              <w:tabs>
                <w:tab w:val="left" w:pos="3060"/>
              </w:tabs>
              <w:spacing w:before="20" w:after="20"/>
              <w:jc w:val="center"/>
              <w:rPr>
                <w:rFonts w:ascii="Cambria" w:hAnsi="Cambria" w:eastAsia="Times New Roman"/>
                <w:color w:val="000000" w:themeColor="text1"/>
                <w14:textFill>
                  <w14:solidFill>
                    <w14:schemeClr w14:val="tx1"/>
                  </w14:solidFill>
                </w14:textFill>
              </w:rPr>
            </w:pPr>
            <w:r>
              <w:rPr>
                <w:rFonts w:ascii="Cambria" w:hAnsi="Cambria" w:eastAsia="Times New Roman"/>
                <w:color w:val="000000" w:themeColor="text1"/>
                <w14:textFill>
                  <w14:solidFill>
                    <w14:schemeClr w14:val="tx1"/>
                  </w14:solidFill>
                </w14:textFill>
              </w:rPr>
              <w:t>2</w:t>
            </w:r>
            <w:r>
              <w:rPr>
                <w:rFonts w:hint="default" w:ascii="Cambria" w:hAnsi="Cambria" w:eastAsia="Times New Roman"/>
                <w:color w:val="000000" w:themeColor="text1"/>
                <w14:textFill>
                  <w14:solidFill>
                    <w14:schemeClr w14:val="tx1"/>
                  </w14:solidFill>
                </w14:textFill>
              </w:rPr>
              <w:t>2</w:t>
            </w:r>
            <w:r>
              <w:rPr>
                <w:rFonts w:ascii="Cambria" w:hAnsi="Cambria" w:eastAsia="Times New Roman"/>
                <w:color w:val="000000" w:themeColor="text1"/>
                <w14:textFill>
                  <w14:solidFill>
                    <w14:schemeClr w14:val="tx1"/>
                  </w14:solidFill>
                </w14:textFill>
              </w:rPr>
              <w:t>.</w:t>
            </w:r>
          </w:p>
        </w:tc>
        <w:tc>
          <w:tcPr>
            <w:tcW w:w="3181" w:type="dxa"/>
          </w:tcPr>
          <w:p>
            <w:pPr>
              <w:tabs>
                <w:tab w:val="left" w:pos="3060"/>
              </w:tabs>
              <w:spacing w:before="20" w:after="20"/>
              <w:jc w:val="both"/>
              <w:rPr>
                <w:rFonts w:ascii="Cambria" w:hAnsi="Cambria" w:eastAsia="Times New Roman"/>
                <w:color w:val="000000" w:themeColor="text1"/>
                <w14:textFill>
                  <w14:solidFill>
                    <w14:schemeClr w14:val="tx1"/>
                  </w14:solidFill>
                </w14:textFill>
              </w:rPr>
            </w:pPr>
            <w:r>
              <w:rPr>
                <w:rFonts w:ascii="Cambria" w:hAnsi="Cambria" w:eastAsia="Times New Roman"/>
                <w:color w:val="000000" w:themeColor="text1"/>
                <w14:textFill>
                  <w14:solidFill>
                    <w14:schemeClr w14:val="tx1"/>
                  </w14:solidFill>
                </w14:textFill>
              </w:rPr>
              <w:t>Dispencer</w:t>
            </w:r>
          </w:p>
        </w:tc>
        <w:tc>
          <w:tcPr>
            <w:tcW w:w="992" w:type="dxa"/>
          </w:tcPr>
          <w:p>
            <w:pPr>
              <w:tabs>
                <w:tab w:val="left" w:pos="3060"/>
              </w:tabs>
              <w:spacing w:before="20" w:after="20"/>
              <w:jc w:val="center"/>
              <w:rPr>
                <w:rFonts w:ascii="Cambria" w:hAnsi="Cambria" w:eastAsia="Times New Roman"/>
                <w:color w:val="000000" w:themeColor="text1"/>
                <w14:textFill>
                  <w14:solidFill>
                    <w14:schemeClr w14:val="tx1"/>
                  </w14:solidFill>
                </w14:textFill>
              </w:rPr>
            </w:pPr>
            <w:r>
              <w:rPr>
                <w:rFonts w:ascii="Cambria" w:hAnsi="Cambria" w:eastAsia="Times New Roman"/>
                <w:color w:val="000000" w:themeColor="text1"/>
                <w14:textFill>
                  <w14:solidFill>
                    <w14:schemeClr w14:val="tx1"/>
                  </w14:solidFill>
                </w14:textFill>
              </w:rPr>
              <w:t>unit</w:t>
            </w:r>
          </w:p>
        </w:tc>
        <w:tc>
          <w:tcPr>
            <w:tcW w:w="1276" w:type="dxa"/>
          </w:tcPr>
          <w:p>
            <w:pPr>
              <w:tabs>
                <w:tab w:val="left" w:pos="3060"/>
              </w:tabs>
              <w:spacing w:before="20" w:after="20"/>
              <w:jc w:val="center"/>
              <w:rPr>
                <w:rFonts w:hint="default" w:ascii="Cambria" w:hAnsi="Cambria" w:eastAsia="Times New Roman"/>
                <w:color w:val="000000" w:themeColor="text1"/>
                <w14:textFill>
                  <w14:solidFill>
                    <w14:schemeClr w14:val="tx1"/>
                  </w14:solidFill>
                </w14:textFill>
              </w:rPr>
            </w:pPr>
            <w:r>
              <w:rPr>
                <w:rFonts w:hint="default" w:ascii="Cambria" w:hAnsi="Cambria" w:eastAsia="Times New Roman"/>
                <w:color w:val="000000" w:themeColor="text1"/>
                <w14:textFill>
                  <w14:solidFill>
                    <w14:schemeClr w14:val="tx1"/>
                  </w14:solidFill>
                </w14:textFill>
              </w:rPr>
              <w:t>2</w:t>
            </w:r>
          </w:p>
        </w:tc>
        <w:tc>
          <w:tcPr>
            <w:tcW w:w="1281" w:type="dxa"/>
          </w:tcPr>
          <w:p>
            <w:pPr>
              <w:tabs>
                <w:tab w:val="left" w:pos="3060"/>
              </w:tabs>
              <w:spacing w:before="20" w:after="20"/>
              <w:jc w:val="center"/>
              <w:rPr>
                <w:rFonts w:ascii="Cambria" w:hAnsi="Cambria" w:eastAsia="Times New Roman"/>
                <w:color w:val="000000" w:themeColor="text1"/>
                <w14:textFill>
                  <w14:solidFill>
                    <w14:schemeClr w14:val="tx1"/>
                  </w14:solidFill>
                </w14:textFill>
              </w:rPr>
            </w:pPr>
          </w:p>
        </w:tc>
        <w:tc>
          <w:tcPr>
            <w:tcW w:w="1283" w:type="dxa"/>
          </w:tcPr>
          <w:p>
            <w:pPr>
              <w:tabs>
                <w:tab w:val="left" w:pos="3060"/>
              </w:tabs>
              <w:spacing w:before="20" w:after="20"/>
              <w:jc w:val="center"/>
              <w:rPr>
                <w:rFonts w:ascii="Cambria" w:hAnsi="Cambria" w:eastAsia="Times New Roman"/>
                <w:color w:val="000000" w:themeColor="text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8" w:type="dxa"/>
        </w:trPr>
        <w:tc>
          <w:tcPr>
            <w:tcW w:w="675" w:type="dxa"/>
          </w:tcPr>
          <w:p>
            <w:pPr>
              <w:tabs>
                <w:tab w:val="left" w:pos="3060"/>
              </w:tabs>
              <w:spacing w:before="20" w:after="20"/>
              <w:jc w:val="center"/>
              <w:rPr>
                <w:rFonts w:ascii="Cambria" w:hAnsi="Cambria" w:eastAsia="Times New Roman"/>
                <w:color w:val="000000" w:themeColor="text1"/>
                <w14:textFill>
                  <w14:solidFill>
                    <w14:schemeClr w14:val="tx1"/>
                  </w14:solidFill>
                </w14:textFill>
              </w:rPr>
            </w:pPr>
            <w:r>
              <w:rPr>
                <w:rFonts w:ascii="Cambria" w:hAnsi="Cambria" w:eastAsia="Times New Roman"/>
                <w:color w:val="000000" w:themeColor="text1"/>
                <w14:textFill>
                  <w14:solidFill>
                    <w14:schemeClr w14:val="tx1"/>
                  </w14:solidFill>
                </w14:textFill>
              </w:rPr>
              <w:t>2</w:t>
            </w:r>
            <w:r>
              <w:rPr>
                <w:rFonts w:hint="default" w:ascii="Cambria" w:hAnsi="Cambria" w:eastAsia="Times New Roman"/>
                <w:color w:val="000000" w:themeColor="text1"/>
                <w14:textFill>
                  <w14:solidFill>
                    <w14:schemeClr w14:val="tx1"/>
                  </w14:solidFill>
                </w14:textFill>
              </w:rPr>
              <w:t>3</w:t>
            </w:r>
            <w:r>
              <w:rPr>
                <w:rFonts w:ascii="Cambria" w:hAnsi="Cambria" w:eastAsia="Times New Roman"/>
                <w:color w:val="000000" w:themeColor="text1"/>
                <w14:textFill>
                  <w14:solidFill>
                    <w14:schemeClr w14:val="tx1"/>
                  </w14:solidFill>
                </w14:textFill>
              </w:rPr>
              <w:t>.</w:t>
            </w:r>
          </w:p>
        </w:tc>
        <w:tc>
          <w:tcPr>
            <w:tcW w:w="3181" w:type="dxa"/>
          </w:tcPr>
          <w:p>
            <w:pPr>
              <w:tabs>
                <w:tab w:val="left" w:pos="3060"/>
              </w:tabs>
              <w:spacing w:before="20" w:after="20"/>
              <w:jc w:val="both"/>
              <w:rPr>
                <w:rFonts w:ascii="Cambria" w:hAnsi="Cambria" w:eastAsia="Times New Roman"/>
                <w:color w:val="000000" w:themeColor="text1"/>
                <w14:textFill>
                  <w14:solidFill>
                    <w14:schemeClr w14:val="tx1"/>
                  </w14:solidFill>
                </w14:textFill>
              </w:rPr>
            </w:pPr>
            <w:r>
              <w:rPr>
                <w:rFonts w:ascii="Cambria" w:hAnsi="Cambria" w:eastAsia="Times New Roman"/>
                <w:color w:val="000000" w:themeColor="text1"/>
                <w14:textFill>
                  <w14:solidFill>
                    <w14:schemeClr w14:val="tx1"/>
                  </w14:solidFill>
                </w14:textFill>
              </w:rPr>
              <w:t>Mesin Penghancur Kertas</w:t>
            </w:r>
          </w:p>
        </w:tc>
        <w:tc>
          <w:tcPr>
            <w:tcW w:w="992" w:type="dxa"/>
          </w:tcPr>
          <w:p>
            <w:pPr>
              <w:tabs>
                <w:tab w:val="left" w:pos="3060"/>
              </w:tabs>
              <w:spacing w:before="20" w:after="20"/>
              <w:jc w:val="center"/>
              <w:rPr>
                <w:rFonts w:ascii="Cambria" w:hAnsi="Cambria" w:eastAsia="Times New Roman"/>
                <w:color w:val="000000" w:themeColor="text1"/>
                <w14:textFill>
                  <w14:solidFill>
                    <w14:schemeClr w14:val="tx1"/>
                  </w14:solidFill>
                </w14:textFill>
              </w:rPr>
            </w:pPr>
            <w:r>
              <w:rPr>
                <w:rFonts w:ascii="Cambria" w:hAnsi="Cambria" w:eastAsia="Times New Roman"/>
                <w:color w:val="000000" w:themeColor="text1"/>
                <w14:textFill>
                  <w14:solidFill>
                    <w14:schemeClr w14:val="tx1"/>
                  </w14:solidFill>
                </w14:textFill>
              </w:rPr>
              <w:t>unit</w:t>
            </w:r>
          </w:p>
        </w:tc>
        <w:tc>
          <w:tcPr>
            <w:tcW w:w="1276" w:type="dxa"/>
          </w:tcPr>
          <w:p>
            <w:pPr>
              <w:tabs>
                <w:tab w:val="left" w:pos="3060"/>
              </w:tabs>
              <w:spacing w:before="20" w:after="20"/>
              <w:jc w:val="center"/>
              <w:rPr>
                <w:rFonts w:ascii="Cambria" w:hAnsi="Cambria" w:eastAsia="Times New Roman"/>
                <w:color w:val="000000" w:themeColor="text1"/>
                <w14:textFill>
                  <w14:solidFill>
                    <w14:schemeClr w14:val="tx1"/>
                  </w14:solidFill>
                </w14:textFill>
              </w:rPr>
            </w:pPr>
            <w:r>
              <w:rPr>
                <w:rFonts w:ascii="Cambria" w:hAnsi="Cambria" w:eastAsia="Times New Roman"/>
                <w:color w:val="000000" w:themeColor="text1"/>
                <w14:textFill>
                  <w14:solidFill>
                    <w14:schemeClr w14:val="tx1"/>
                  </w14:solidFill>
                </w14:textFill>
              </w:rPr>
              <w:t>1</w:t>
            </w:r>
          </w:p>
        </w:tc>
        <w:tc>
          <w:tcPr>
            <w:tcW w:w="1281" w:type="dxa"/>
          </w:tcPr>
          <w:p>
            <w:pPr>
              <w:tabs>
                <w:tab w:val="left" w:pos="3060"/>
              </w:tabs>
              <w:spacing w:before="20" w:after="20"/>
              <w:jc w:val="center"/>
              <w:rPr>
                <w:rFonts w:ascii="Cambria" w:hAnsi="Cambria" w:eastAsia="Times New Roman"/>
                <w:color w:val="000000" w:themeColor="text1"/>
                <w14:textFill>
                  <w14:solidFill>
                    <w14:schemeClr w14:val="tx1"/>
                  </w14:solidFill>
                </w14:textFill>
              </w:rPr>
            </w:pPr>
          </w:p>
        </w:tc>
        <w:tc>
          <w:tcPr>
            <w:tcW w:w="1283" w:type="dxa"/>
          </w:tcPr>
          <w:p>
            <w:pPr>
              <w:tabs>
                <w:tab w:val="left" w:pos="3060"/>
              </w:tabs>
              <w:spacing w:before="20" w:after="20"/>
              <w:jc w:val="center"/>
              <w:rPr>
                <w:rFonts w:ascii="Cambria" w:hAnsi="Cambria" w:eastAsia="Times New Roman"/>
                <w:color w:val="000000" w:themeColor="text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8" w:type="dxa"/>
        </w:trPr>
        <w:tc>
          <w:tcPr>
            <w:tcW w:w="675" w:type="dxa"/>
          </w:tcPr>
          <w:p>
            <w:pPr>
              <w:tabs>
                <w:tab w:val="left" w:pos="3060"/>
              </w:tabs>
              <w:spacing w:before="20" w:after="20"/>
              <w:jc w:val="center"/>
              <w:rPr>
                <w:rFonts w:ascii="Cambria" w:hAnsi="Cambria" w:eastAsia="Times New Roman"/>
                <w:color w:val="000000" w:themeColor="text1"/>
                <w14:textFill>
                  <w14:solidFill>
                    <w14:schemeClr w14:val="tx1"/>
                  </w14:solidFill>
                </w14:textFill>
              </w:rPr>
            </w:pPr>
            <w:r>
              <w:rPr>
                <w:rFonts w:ascii="Cambria" w:hAnsi="Cambria" w:eastAsia="Times New Roman"/>
                <w:color w:val="000000" w:themeColor="text1"/>
                <w14:textFill>
                  <w14:solidFill>
                    <w14:schemeClr w14:val="tx1"/>
                  </w14:solidFill>
                </w14:textFill>
              </w:rPr>
              <w:t>2</w:t>
            </w:r>
            <w:r>
              <w:rPr>
                <w:rFonts w:hint="default" w:ascii="Cambria" w:hAnsi="Cambria" w:eastAsia="Times New Roman"/>
                <w:color w:val="000000" w:themeColor="text1"/>
                <w14:textFill>
                  <w14:solidFill>
                    <w14:schemeClr w14:val="tx1"/>
                  </w14:solidFill>
                </w14:textFill>
              </w:rPr>
              <w:t>4</w:t>
            </w:r>
            <w:r>
              <w:rPr>
                <w:rFonts w:ascii="Cambria" w:hAnsi="Cambria" w:eastAsia="Times New Roman"/>
                <w:color w:val="000000" w:themeColor="text1"/>
                <w14:textFill>
                  <w14:solidFill>
                    <w14:schemeClr w14:val="tx1"/>
                  </w14:solidFill>
                </w14:textFill>
              </w:rPr>
              <w:t>.</w:t>
            </w:r>
          </w:p>
        </w:tc>
        <w:tc>
          <w:tcPr>
            <w:tcW w:w="3181" w:type="dxa"/>
          </w:tcPr>
          <w:p>
            <w:pPr>
              <w:tabs>
                <w:tab w:val="left" w:pos="3060"/>
              </w:tabs>
              <w:spacing w:before="20" w:after="20"/>
              <w:jc w:val="both"/>
              <w:rPr>
                <w:rFonts w:ascii="Cambria" w:hAnsi="Cambria" w:eastAsia="Times New Roman"/>
                <w:color w:val="000000" w:themeColor="text1"/>
                <w14:textFill>
                  <w14:solidFill>
                    <w14:schemeClr w14:val="tx1"/>
                  </w14:solidFill>
                </w14:textFill>
              </w:rPr>
            </w:pPr>
            <w:r>
              <w:rPr>
                <w:rFonts w:ascii="Cambria" w:hAnsi="Cambria" w:eastAsia="Times New Roman"/>
                <w:color w:val="000000" w:themeColor="text1"/>
                <w14:textFill>
                  <w14:solidFill>
                    <w14:schemeClr w14:val="tx1"/>
                  </w14:solidFill>
                </w14:textFill>
              </w:rPr>
              <w:t>Tabung Pemadam Kebarakan</w:t>
            </w:r>
          </w:p>
        </w:tc>
        <w:tc>
          <w:tcPr>
            <w:tcW w:w="992" w:type="dxa"/>
          </w:tcPr>
          <w:p>
            <w:pPr>
              <w:tabs>
                <w:tab w:val="left" w:pos="3060"/>
              </w:tabs>
              <w:spacing w:before="20" w:after="20"/>
              <w:jc w:val="center"/>
              <w:rPr>
                <w:rFonts w:ascii="Cambria" w:hAnsi="Cambria" w:eastAsia="Times New Roman"/>
                <w:color w:val="000000" w:themeColor="text1"/>
                <w14:textFill>
                  <w14:solidFill>
                    <w14:schemeClr w14:val="tx1"/>
                  </w14:solidFill>
                </w14:textFill>
              </w:rPr>
            </w:pPr>
            <w:r>
              <w:rPr>
                <w:rFonts w:ascii="Cambria" w:hAnsi="Cambria" w:eastAsia="Times New Roman"/>
                <w:color w:val="000000" w:themeColor="text1"/>
                <w14:textFill>
                  <w14:solidFill>
                    <w14:schemeClr w14:val="tx1"/>
                  </w14:solidFill>
                </w14:textFill>
              </w:rPr>
              <w:t>unit</w:t>
            </w:r>
          </w:p>
        </w:tc>
        <w:tc>
          <w:tcPr>
            <w:tcW w:w="1276" w:type="dxa"/>
          </w:tcPr>
          <w:p>
            <w:pPr>
              <w:tabs>
                <w:tab w:val="left" w:pos="3060"/>
              </w:tabs>
              <w:spacing w:before="20" w:after="20"/>
              <w:jc w:val="center"/>
              <w:rPr>
                <w:rFonts w:ascii="Cambria" w:hAnsi="Cambria" w:eastAsia="Times New Roman"/>
                <w:color w:val="000000" w:themeColor="text1"/>
                <w14:textFill>
                  <w14:solidFill>
                    <w14:schemeClr w14:val="tx1"/>
                  </w14:solidFill>
                </w14:textFill>
              </w:rPr>
            </w:pPr>
            <w:r>
              <w:rPr>
                <w:rFonts w:ascii="Cambria" w:hAnsi="Cambria" w:eastAsia="Times New Roman"/>
                <w:color w:val="000000" w:themeColor="text1"/>
                <w14:textFill>
                  <w14:solidFill>
                    <w14:schemeClr w14:val="tx1"/>
                  </w14:solidFill>
                </w14:textFill>
              </w:rPr>
              <w:t>2</w:t>
            </w:r>
          </w:p>
        </w:tc>
        <w:tc>
          <w:tcPr>
            <w:tcW w:w="1281" w:type="dxa"/>
          </w:tcPr>
          <w:p>
            <w:pPr>
              <w:tabs>
                <w:tab w:val="left" w:pos="3060"/>
              </w:tabs>
              <w:spacing w:before="20" w:after="20"/>
              <w:jc w:val="center"/>
              <w:rPr>
                <w:rFonts w:ascii="Cambria" w:hAnsi="Cambria" w:eastAsia="Times New Roman"/>
                <w:color w:val="000000" w:themeColor="text1"/>
                <w14:textFill>
                  <w14:solidFill>
                    <w14:schemeClr w14:val="tx1"/>
                  </w14:solidFill>
                </w14:textFill>
              </w:rPr>
            </w:pPr>
          </w:p>
        </w:tc>
        <w:tc>
          <w:tcPr>
            <w:tcW w:w="1283" w:type="dxa"/>
          </w:tcPr>
          <w:p>
            <w:pPr>
              <w:tabs>
                <w:tab w:val="left" w:pos="3060"/>
              </w:tabs>
              <w:spacing w:before="20" w:after="20"/>
              <w:jc w:val="center"/>
              <w:rPr>
                <w:rFonts w:ascii="Cambria" w:hAnsi="Cambria" w:eastAsia="Times New Roman"/>
                <w:color w:val="000000" w:themeColor="text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8" w:type="dxa"/>
        </w:trPr>
        <w:tc>
          <w:tcPr>
            <w:tcW w:w="675" w:type="dxa"/>
          </w:tcPr>
          <w:p>
            <w:pPr>
              <w:tabs>
                <w:tab w:val="left" w:pos="3060"/>
              </w:tabs>
              <w:spacing w:before="20" w:after="20"/>
              <w:jc w:val="center"/>
              <w:rPr>
                <w:rFonts w:hint="default" w:ascii="Cambria" w:hAnsi="Cambria" w:eastAsia="Times New Roman"/>
                <w:color w:val="000000" w:themeColor="text1"/>
                <w14:textFill>
                  <w14:solidFill>
                    <w14:schemeClr w14:val="tx1"/>
                  </w14:solidFill>
                </w14:textFill>
              </w:rPr>
            </w:pPr>
            <w:r>
              <w:rPr>
                <w:rFonts w:hint="default" w:ascii="Cambria" w:hAnsi="Cambria" w:eastAsia="Times New Roman"/>
                <w:color w:val="000000" w:themeColor="text1"/>
                <w14:textFill>
                  <w14:solidFill>
                    <w14:schemeClr w14:val="tx1"/>
                  </w14:solidFill>
                </w14:textFill>
              </w:rPr>
              <w:t>25.</w:t>
            </w:r>
          </w:p>
        </w:tc>
        <w:tc>
          <w:tcPr>
            <w:tcW w:w="3181" w:type="dxa"/>
          </w:tcPr>
          <w:p>
            <w:pPr>
              <w:tabs>
                <w:tab w:val="left" w:pos="3060"/>
              </w:tabs>
              <w:spacing w:before="20" w:after="20"/>
              <w:jc w:val="both"/>
              <w:rPr>
                <w:rFonts w:hint="default" w:ascii="Cambria" w:hAnsi="Cambria" w:eastAsia="Times New Roman"/>
                <w:color w:val="000000" w:themeColor="text1"/>
                <w14:textFill>
                  <w14:solidFill>
                    <w14:schemeClr w14:val="tx1"/>
                  </w14:solidFill>
                </w14:textFill>
              </w:rPr>
            </w:pPr>
            <w:r>
              <w:rPr>
                <w:rFonts w:hint="default" w:ascii="Cambria" w:hAnsi="Cambria" w:eastAsia="Times New Roman"/>
                <w:color w:val="000000" w:themeColor="text1"/>
                <w14:textFill>
                  <w14:solidFill>
                    <w14:schemeClr w14:val="tx1"/>
                  </w14:solidFill>
                </w14:textFill>
              </w:rPr>
              <w:t>Card Fiber Chanel</w:t>
            </w:r>
          </w:p>
        </w:tc>
        <w:tc>
          <w:tcPr>
            <w:tcW w:w="992" w:type="dxa"/>
          </w:tcPr>
          <w:p>
            <w:pPr>
              <w:tabs>
                <w:tab w:val="left" w:pos="3060"/>
              </w:tabs>
              <w:spacing w:before="20" w:after="20"/>
              <w:jc w:val="center"/>
              <w:rPr>
                <w:rFonts w:hint="default" w:ascii="Cambria" w:hAnsi="Cambria" w:eastAsia="Times New Roman"/>
                <w:color w:val="000000" w:themeColor="text1"/>
                <w14:textFill>
                  <w14:solidFill>
                    <w14:schemeClr w14:val="tx1"/>
                  </w14:solidFill>
                </w14:textFill>
              </w:rPr>
            </w:pPr>
            <w:r>
              <w:rPr>
                <w:rFonts w:hint="default" w:ascii="Cambria" w:hAnsi="Cambria" w:eastAsia="Times New Roman"/>
                <w:color w:val="000000" w:themeColor="text1"/>
                <w14:textFill>
                  <w14:solidFill>
                    <w14:schemeClr w14:val="tx1"/>
                  </w14:solidFill>
                </w14:textFill>
              </w:rPr>
              <w:t>buah</w:t>
            </w:r>
          </w:p>
        </w:tc>
        <w:tc>
          <w:tcPr>
            <w:tcW w:w="1276" w:type="dxa"/>
          </w:tcPr>
          <w:p>
            <w:pPr>
              <w:tabs>
                <w:tab w:val="left" w:pos="3060"/>
              </w:tabs>
              <w:spacing w:before="20" w:after="20"/>
              <w:jc w:val="center"/>
              <w:rPr>
                <w:rFonts w:hint="default" w:ascii="Cambria" w:hAnsi="Cambria" w:eastAsia="Times New Roman"/>
                <w:color w:val="000000" w:themeColor="text1"/>
                <w14:textFill>
                  <w14:solidFill>
                    <w14:schemeClr w14:val="tx1"/>
                  </w14:solidFill>
                </w14:textFill>
              </w:rPr>
            </w:pPr>
            <w:r>
              <w:rPr>
                <w:rFonts w:hint="default" w:ascii="Cambria" w:hAnsi="Cambria" w:eastAsia="Times New Roman"/>
                <w:color w:val="000000" w:themeColor="text1"/>
                <w14:textFill>
                  <w14:solidFill>
                    <w14:schemeClr w14:val="tx1"/>
                  </w14:solidFill>
                </w14:textFill>
              </w:rPr>
              <w:t>1</w:t>
            </w:r>
          </w:p>
        </w:tc>
        <w:tc>
          <w:tcPr>
            <w:tcW w:w="1281" w:type="dxa"/>
          </w:tcPr>
          <w:p>
            <w:pPr>
              <w:tabs>
                <w:tab w:val="left" w:pos="3060"/>
              </w:tabs>
              <w:spacing w:before="20" w:after="20"/>
              <w:jc w:val="center"/>
              <w:rPr>
                <w:rFonts w:ascii="Cambria" w:hAnsi="Cambria" w:eastAsia="Times New Roman"/>
                <w:color w:val="000000" w:themeColor="text1"/>
                <w14:textFill>
                  <w14:solidFill>
                    <w14:schemeClr w14:val="tx1"/>
                  </w14:solidFill>
                </w14:textFill>
              </w:rPr>
            </w:pPr>
          </w:p>
        </w:tc>
        <w:tc>
          <w:tcPr>
            <w:tcW w:w="1283" w:type="dxa"/>
          </w:tcPr>
          <w:p>
            <w:pPr>
              <w:tabs>
                <w:tab w:val="left" w:pos="3060"/>
              </w:tabs>
              <w:spacing w:before="20" w:after="20"/>
              <w:jc w:val="center"/>
              <w:rPr>
                <w:rFonts w:ascii="Cambria" w:hAnsi="Cambria" w:eastAsia="Times New Roman"/>
                <w:color w:val="000000" w:themeColor="text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8" w:type="dxa"/>
        </w:trPr>
        <w:tc>
          <w:tcPr>
            <w:tcW w:w="675" w:type="dxa"/>
          </w:tcPr>
          <w:p>
            <w:pPr>
              <w:tabs>
                <w:tab w:val="left" w:pos="3060"/>
              </w:tabs>
              <w:spacing w:before="20" w:after="20"/>
              <w:jc w:val="center"/>
              <w:rPr>
                <w:rFonts w:hint="default" w:ascii="Cambria" w:hAnsi="Cambria" w:eastAsia="Times New Roman"/>
                <w:color w:val="000000" w:themeColor="text1"/>
                <w14:textFill>
                  <w14:solidFill>
                    <w14:schemeClr w14:val="tx1"/>
                  </w14:solidFill>
                </w14:textFill>
              </w:rPr>
            </w:pPr>
            <w:r>
              <w:rPr>
                <w:rFonts w:hint="default" w:ascii="Cambria" w:hAnsi="Cambria" w:eastAsia="Times New Roman"/>
                <w:color w:val="000000" w:themeColor="text1"/>
                <w14:textFill>
                  <w14:solidFill>
                    <w14:schemeClr w14:val="tx1"/>
                  </w14:solidFill>
                </w14:textFill>
              </w:rPr>
              <w:t>26.</w:t>
            </w:r>
          </w:p>
        </w:tc>
        <w:tc>
          <w:tcPr>
            <w:tcW w:w="3181" w:type="dxa"/>
          </w:tcPr>
          <w:p>
            <w:pPr>
              <w:tabs>
                <w:tab w:val="left" w:pos="3060"/>
              </w:tabs>
              <w:spacing w:before="20" w:after="20"/>
              <w:jc w:val="both"/>
              <w:rPr>
                <w:rFonts w:hint="default" w:ascii="Cambria" w:hAnsi="Cambria" w:eastAsia="Times New Roman"/>
                <w:color w:val="000000" w:themeColor="text1"/>
                <w14:textFill>
                  <w14:solidFill>
                    <w14:schemeClr w14:val="tx1"/>
                  </w14:solidFill>
                </w14:textFill>
              </w:rPr>
            </w:pPr>
            <w:r>
              <w:rPr>
                <w:rFonts w:hint="default" w:ascii="Cambria" w:hAnsi="Cambria" w:eastAsia="Times New Roman"/>
                <w:color w:val="000000" w:themeColor="text1"/>
                <w14:textFill>
                  <w14:solidFill>
                    <w14:schemeClr w14:val="tx1"/>
                  </w14:solidFill>
                </w14:textFill>
              </w:rPr>
              <w:t>Memori Server Sun Fire X</w:t>
            </w:r>
          </w:p>
        </w:tc>
        <w:tc>
          <w:tcPr>
            <w:tcW w:w="992" w:type="dxa"/>
          </w:tcPr>
          <w:p>
            <w:pPr>
              <w:tabs>
                <w:tab w:val="left" w:pos="3060"/>
              </w:tabs>
              <w:spacing w:before="20" w:after="20"/>
              <w:jc w:val="center"/>
              <w:rPr>
                <w:rFonts w:hint="default" w:ascii="Cambria" w:hAnsi="Cambria" w:eastAsia="Times New Roman"/>
                <w:color w:val="000000" w:themeColor="text1"/>
                <w14:textFill>
                  <w14:solidFill>
                    <w14:schemeClr w14:val="tx1"/>
                  </w14:solidFill>
                </w14:textFill>
              </w:rPr>
            </w:pPr>
            <w:r>
              <w:rPr>
                <w:rFonts w:hint="default" w:ascii="Cambria" w:hAnsi="Cambria" w:eastAsia="Times New Roman"/>
                <w:color w:val="000000" w:themeColor="text1"/>
                <w14:textFill>
                  <w14:solidFill>
                    <w14:schemeClr w14:val="tx1"/>
                  </w14:solidFill>
                </w14:textFill>
              </w:rPr>
              <w:t>buah</w:t>
            </w:r>
          </w:p>
        </w:tc>
        <w:tc>
          <w:tcPr>
            <w:tcW w:w="1276" w:type="dxa"/>
          </w:tcPr>
          <w:p>
            <w:pPr>
              <w:tabs>
                <w:tab w:val="left" w:pos="3060"/>
              </w:tabs>
              <w:spacing w:before="20" w:after="20"/>
              <w:jc w:val="center"/>
              <w:rPr>
                <w:rFonts w:hint="default" w:ascii="Cambria" w:hAnsi="Cambria" w:eastAsia="Times New Roman"/>
                <w:color w:val="000000" w:themeColor="text1"/>
                <w14:textFill>
                  <w14:solidFill>
                    <w14:schemeClr w14:val="tx1"/>
                  </w14:solidFill>
                </w14:textFill>
              </w:rPr>
            </w:pPr>
            <w:r>
              <w:rPr>
                <w:rFonts w:hint="default" w:ascii="Cambria" w:hAnsi="Cambria" w:eastAsia="Times New Roman"/>
                <w:color w:val="000000" w:themeColor="text1"/>
                <w14:textFill>
                  <w14:solidFill>
                    <w14:schemeClr w14:val="tx1"/>
                  </w14:solidFill>
                </w14:textFill>
              </w:rPr>
              <w:t>1</w:t>
            </w:r>
          </w:p>
        </w:tc>
        <w:tc>
          <w:tcPr>
            <w:tcW w:w="1281" w:type="dxa"/>
          </w:tcPr>
          <w:p>
            <w:pPr>
              <w:tabs>
                <w:tab w:val="left" w:pos="3060"/>
              </w:tabs>
              <w:spacing w:before="20" w:after="20"/>
              <w:jc w:val="center"/>
              <w:rPr>
                <w:rFonts w:ascii="Cambria" w:hAnsi="Cambria" w:eastAsia="Times New Roman"/>
                <w:color w:val="000000" w:themeColor="text1"/>
                <w14:textFill>
                  <w14:solidFill>
                    <w14:schemeClr w14:val="tx1"/>
                  </w14:solidFill>
                </w14:textFill>
              </w:rPr>
            </w:pPr>
          </w:p>
        </w:tc>
        <w:tc>
          <w:tcPr>
            <w:tcW w:w="1283" w:type="dxa"/>
          </w:tcPr>
          <w:p>
            <w:pPr>
              <w:tabs>
                <w:tab w:val="left" w:pos="3060"/>
              </w:tabs>
              <w:spacing w:before="20" w:after="20"/>
              <w:jc w:val="center"/>
              <w:rPr>
                <w:rFonts w:ascii="Cambria" w:hAnsi="Cambria" w:eastAsia="Times New Roman"/>
                <w:color w:val="000000" w:themeColor="text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8" w:type="dxa"/>
        </w:trPr>
        <w:tc>
          <w:tcPr>
            <w:tcW w:w="675" w:type="dxa"/>
          </w:tcPr>
          <w:p>
            <w:pPr>
              <w:tabs>
                <w:tab w:val="left" w:pos="3060"/>
              </w:tabs>
              <w:spacing w:before="20" w:after="20"/>
              <w:jc w:val="center"/>
              <w:rPr>
                <w:rFonts w:hint="default" w:ascii="Cambria" w:hAnsi="Cambria" w:eastAsia="Times New Roman"/>
                <w:color w:val="000000" w:themeColor="text1"/>
                <w14:textFill>
                  <w14:solidFill>
                    <w14:schemeClr w14:val="tx1"/>
                  </w14:solidFill>
                </w14:textFill>
              </w:rPr>
            </w:pPr>
            <w:r>
              <w:rPr>
                <w:rFonts w:hint="default" w:ascii="Cambria" w:hAnsi="Cambria" w:eastAsia="Times New Roman"/>
                <w:color w:val="000000" w:themeColor="text1"/>
                <w14:textFill>
                  <w14:solidFill>
                    <w14:schemeClr w14:val="tx1"/>
                  </w14:solidFill>
                </w14:textFill>
              </w:rPr>
              <w:t>27.</w:t>
            </w:r>
          </w:p>
        </w:tc>
        <w:tc>
          <w:tcPr>
            <w:tcW w:w="3181" w:type="dxa"/>
          </w:tcPr>
          <w:p>
            <w:pPr>
              <w:tabs>
                <w:tab w:val="left" w:pos="3060"/>
              </w:tabs>
              <w:spacing w:before="20" w:after="20"/>
              <w:jc w:val="both"/>
              <w:rPr>
                <w:rFonts w:hint="default" w:ascii="Cambria" w:hAnsi="Cambria" w:eastAsia="Times New Roman"/>
                <w:color w:val="000000" w:themeColor="text1"/>
                <w14:textFill>
                  <w14:solidFill>
                    <w14:schemeClr w14:val="tx1"/>
                  </w14:solidFill>
                </w14:textFill>
              </w:rPr>
            </w:pPr>
            <w:r>
              <w:rPr>
                <w:rFonts w:hint="default" w:ascii="Cambria" w:hAnsi="Cambria" w:eastAsia="Times New Roman"/>
                <w:color w:val="000000" w:themeColor="text1"/>
                <w14:textFill>
                  <w14:solidFill>
                    <w14:schemeClr w14:val="tx1"/>
                  </w14:solidFill>
                </w14:textFill>
              </w:rPr>
              <w:t>Hardisk Server Sun Fire X</w:t>
            </w:r>
          </w:p>
        </w:tc>
        <w:tc>
          <w:tcPr>
            <w:tcW w:w="992" w:type="dxa"/>
          </w:tcPr>
          <w:p>
            <w:pPr>
              <w:tabs>
                <w:tab w:val="left" w:pos="3060"/>
              </w:tabs>
              <w:spacing w:before="20" w:after="20"/>
              <w:jc w:val="center"/>
              <w:rPr>
                <w:rFonts w:hint="default" w:ascii="Cambria" w:hAnsi="Cambria" w:eastAsia="Times New Roman"/>
                <w:color w:val="000000" w:themeColor="text1"/>
                <w14:textFill>
                  <w14:solidFill>
                    <w14:schemeClr w14:val="tx1"/>
                  </w14:solidFill>
                </w14:textFill>
              </w:rPr>
            </w:pPr>
            <w:r>
              <w:rPr>
                <w:rFonts w:hint="default" w:ascii="Cambria" w:hAnsi="Cambria" w:eastAsia="Times New Roman"/>
                <w:color w:val="000000" w:themeColor="text1"/>
                <w14:textFill>
                  <w14:solidFill>
                    <w14:schemeClr w14:val="tx1"/>
                  </w14:solidFill>
                </w14:textFill>
              </w:rPr>
              <w:t>unit</w:t>
            </w:r>
          </w:p>
        </w:tc>
        <w:tc>
          <w:tcPr>
            <w:tcW w:w="1276" w:type="dxa"/>
          </w:tcPr>
          <w:p>
            <w:pPr>
              <w:tabs>
                <w:tab w:val="left" w:pos="3060"/>
              </w:tabs>
              <w:spacing w:before="20" w:after="20"/>
              <w:jc w:val="center"/>
              <w:rPr>
                <w:rFonts w:hint="default" w:ascii="Cambria" w:hAnsi="Cambria" w:eastAsia="Times New Roman"/>
                <w:color w:val="000000" w:themeColor="text1"/>
                <w14:textFill>
                  <w14:solidFill>
                    <w14:schemeClr w14:val="tx1"/>
                  </w14:solidFill>
                </w14:textFill>
              </w:rPr>
            </w:pPr>
            <w:r>
              <w:rPr>
                <w:rFonts w:hint="default" w:ascii="Cambria" w:hAnsi="Cambria" w:eastAsia="Times New Roman"/>
                <w:color w:val="000000" w:themeColor="text1"/>
                <w14:textFill>
                  <w14:solidFill>
                    <w14:schemeClr w14:val="tx1"/>
                  </w14:solidFill>
                </w14:textFill>
              </w:rPr>
              <w:t>2</w:t>
            </w:r>
          </w:p>
        </w:tc>
        <w:tc>
          <w:tcPr>
            <w:tcW w:w="1281" w:type="dxa"/>
          </w:tcPr>
          <w:p>
            <w:pPr>
              <w:tabs>
                <w:tab w:val="left" w:pos="3060"/>
              </w:tabs>
              <w:spacing w:before="20" w:after="20"/>
              <w:jc w:val="center"/>
              <w:rPr>
                <w:rFonts w:ascii="Cambria" w:hAnsi="Cambria" w:eastAsia="Times New Roman"/>
                <w:color w:val="000000" w:themeColor="text1"/>
                <w14:textFill>
                  <w14:solidFill>
                    <w14:schemeClr w14:val="tx1"/>
                  </w14:solidFill>
                </w14:textFill>
              </w:rPr>
            </w:pPr>
          </w:p>
        </w:tc>
        <w:tc>
          <w:tcPr>
            <w:tcW w:w="1283" w:type="dxa"/>
          </w:tcPr>
          <w:p>
            <w:pPr>
              <w:tabs>
                <w:tab w:val="left" w:pos="3060"/>
              </w:tabs>
              <w:spacing w:before="20" w:after="20"/>
              <w:jc w:val="center"/>
              <w:rPr>
                <w:rFonts w:ascii="Cambria" w:hAnsi="Cambria" w:eastAsia="Times New Roman"/>
                <w:color w:val="000000" w:themeColor="text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8" w:type="dxa"/>
        </w:trPr>
        <w:tc>
          <w:tcPr>
            <w:tcW w:w="675" w:type="dxa"/>
          </w:tcPr>
          <w:p>
            <w:pPr>
              <w:tabs>
                <w:tab w:val="left" w:pos="3060"/>
              </w:tabs>
              <w:spacing w:before="20" w:after="20"/>
              <w:jc w:val="center"/>
              <w:rPr>
                <w:rFonts w:hint="default" w:ascii="Cambria" w:hAnsi="Cambria" w:eastAsia="Times New Roman"/>
                <w:color w:val="000000" w:themeColor="text1"/>
                <w14:textFill>
                  <w14:solidFill>
                    <w14:schemeClr w14:val="tx1"/>
                  </w14:solidFill>
                </w14:textFill>
              </w:rPr>
            </w:pPr>
            <w:r>
              <w:rPr>
                <w:rFonts w:hint="default" w:ascii="Cambria" w:hAnsi="Cambria" w:eastAsia="Times New Roman"/>
                <w:color w:val="000000" w:themeColor="text1"/>
                <w14:textFill>
                  <w14:solidFill>
                    <w14:schemeClr w14:val="tx1"/>
                  </w14:solidFill>
                </w14:textFill>
              </w:rPr>
              <w:t>28.</w:t>
            </w:r>
          </w:p>
        </w:tc>
        <w:tc>
          <w:tcPr>
            <w:tcW w:w="3181" w:type="dxa"/>
          </w:tcPr>
          <w:p>
            <w:pPr>
              <w:tabs>
                <w:tab w:val="left" w:pos="3060"/>
              </w:tabs>
              <w:spacing w:before="20" w:after="20"/>
              <w:jc w:val="both"/>
              <w:rPr>
                <w:rFonts w:hint="default" w:ascii="Cambria" w:hAnsi="Cambria" w:eastAsia="Times New Roman"/>
                <w:color w:val="000000" w:themeColor="text1"/>
                <w14:textFill>
                  <w14:solidFill>
                    <w14:schemeClr w14:val="tx1"/>
                  </w14:solidFill>
                </w14:textFill>
              </w:rPr>
            </w:pPr>
            <w:r>
              <w:rPr>
                <w:rFonts w:hint="default" w:ascii="Cambria" w:hAnsi="Cambria" w:eastAsia="Times New Roman"/>
                <w:color w:val="000000" w:themeColor="text1"/>
                <w14:textFill>
                  <w14:solidFill>
                    <w14:schemeClr w14:val="tx1"/>
                  </w14:solidFill>
                </w14:textFill>
              </w:rPr>
              <w:t>Mesin Hitung Listrik</w:t>
            </w:r>
          </w:p>
        </w:tc>
        <w:tc>
          <w:tcPr>
            <w:tcW w:w="992" w:type="dxa"/>
          </w:tcPr>
          <w:p>
            <w:pPr>
              <w:tabs>
                <w:tab w:val="left" w:pos="3060"/>
              </w:tabs>
              <w:spacing w:before="20" w:after="20"/>
              <w:jc w:val="center"/>
              <w:rPr>
                <w:rFonts w:hint="default" w:ascii="Cambria" w:hAnsi="Cambria" w:eastAsia="Times New Roman"/>
                <w:color w:val="000000" w:themeColor="text1"/>
                <w14:textFill>
                  <w14:solidFill>
                    <w14:schemeClr w14:val="tx1"/>
                  </w14:solidFill>
                </w14:textFill>
              </w:rPr>
            </w:pPr>
            <w:r>
              <w:rPr>
                <w:rFonts w:hint="default" w:ascii="Cambria" w:hAnsi="Cambria" w:eastAsia="Times New Roman"/>
                <w:color w:val="000000" w:themeColor="text1"/>
                <w14:textFill>
                  <w14:solidFill>
                    <w14:schemeClr w14:val="tx1"/>
                  </w14:solidFill>
                </w14:textFill>
              </w:rPr>
              <w:t>unit</w:t>
            </w:r>
          </w:p>
        </w:tc>
        <w:tc>
          <w:tcPr>
            <w:tcW w:w="1276" w:type="dxa"/>
          </w:tcPr>
          <w:p>
            <w:pPr>
              <w:tabs>
                <w:tab w:val="left" w:pos="3060"/>
              </w:tabs>
              <w:spacing w:before="20" w:after="20"/>
              <w:jc w:val="center"/>
              <w:rPr>
                <w:rFonts w:hint="default" w:ascii="Cambria" w:hAnsi="Cambria" w:eastAsia="Times New Roman"/>
                <w:color w:val="000000" w:themeColor="text1"/>
                <w14:textFill>
                  <w14:solidFill>
                    <w14:schemeClr w14:val="tx1"/>
                  </w14:solidFill>
                </w14:textFill>
              </w:rPr>
            </w:pPr>
            <w:r>
              <w:rPr>
                <w:rFonts w:hint="default" w:ascii="Cambria" w:hAnsi="Cambria" w:eastAsia="Times New Roman"/>
                <w:color w:val="000000" w:themeColor="text1"/>
                <w14:textFill>
                  <w14:solidFill>
                    <w14:schemeClr w14:val="tx1"/>
                  </w14:solidFill>
                </w14:textFill>
              </w:rPr>
              <w:t>1</w:t>
            </w:r>
          </w:p>
        </w:tc>
        <w:tc>
          <w:tcPr>
            <w:tcW w:w="1281" w:type="dxa"/>
          </w:tcPr>
          <w:p>
            <w:pPr>
              <w:tabs>
                <w:tab w:val="left" w:pos="3060"/>
              </w:tabs>
              <w:spacing w:before="20" w:after="20"/>
              <w:jc w:val="center"/>
              <w:rPr>
                <w:rFonts w:ascii="Cambria" w:hAnsi="Cambria" w:eastAsia="Times New Roman"/>
                <w:color w:val="000000" w:themeColor="text1"/>
                <w14:textFill>
                  <w14:solidFill>
                    <w14:schemeClr w14:val="tx1"/>
                  </w14:solidFill>
                </w14:textFill>
              </w:rPr>
            </w:pPr>
          </w:p>
        </w:tc>
        <w:tc>
          <w:tcPr>
            <w:tcW w:w="1283" w:type="dxa"/>
          </w:tcPr>
          <w:p>
            <w:pPr>
              <w:tabs>
                <w:tab w:val="left" w:pos="3060"/>
              </w:tabs>
              <w:spacing w:before="20" w:after="20"/>
              <w:jc w:val="center"/>
              <w:rPr>
                <w:rFonts w:ascii="Cambria" w:hAnsi="Cambria" w:eastAsia="Times New Roman"/>
                <w:color w:val="000000" w:themeColor="text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8" w:type="dxa"/>
        </w:trPr>
        <w:tc>
          <w:tcPr>
            <w:tcW w:w="675" w:type="dxa"/>
          </w:tcPr>
          <w:p>
            <w:pPr>
              <w:tabs>
                <w:tab w:val="left" w:pos="3060"/>
              </w:tabs>
              <w:spacing w:before="20" w:after="20"/>
              <w:jc w:val="center"/>
              <w:rPr>
                <w:rFonts w:hint="default" w:ascii="Cambria" w:hAnsi="Cambria" w:eastAsia="Times New Roman"/>
                <w:color w:val="000000" w:themeColor="text1"/>
                <w14:textFill>
                  <w14:solidFill>
                    <w14:schemeClr w14:val="tx1"/>
                  </w14:solidFill>
                </w14:textFill>
              </w:rPr>
            </w:pPr>
            <w:r>
              <w:rPr>
                <w:rFonts w:hint="default" w:ascii="Cambria" w:hAnsi="Cambria" w:eastAsia="Times New Roman"/>
                <w:color w:val="000000" w:themeColor="text1"/>
                <w14:textFill>
                  <w14:solidFill>
                    <w14:schemeClr w14:val="tx1"/>
                  </w14:solidFill>
                </w14:textFill>
              </w:rPr>
              <w:t>29.</w:t>
            </w:r>
          </w:p>
        </w:tc>
        <w:tc>
          <w:tcPr>
            <w:tcW w:w="3181" w:type="dxa"/>
          </w:tcPr>
          <w:p>
            <w:pPr>
              <w:tabs>
                <w:tab w:val="left" w:pos="3060"/>
              </w:tabs>
              <w:spacing w:before="20" w:after="20"/>
              <w:jc w:val="both"/>
              <w:rPr>
                <w:rFonts w:hint="default" w:ascii="Cambria" w:hAnsi="Cambria" w:eastAsia="Times New Roman"/>
                <w:color w:val="000000" w:themeColor="text1"/>
                <w14:textFill>
                  <w14:solidFill>
                    <w14:schemeClr w14:val="tx1"/>
                  </w14:solidFill>
                </w14:textFill>
              </w:rPr>
            </w:pPr>
            <w:r>
              <w:rPr>
                <w:rFonts w:ascii="Cambria" w:hAnsi="Cambria" w:eastAsia="Times New Roman"/>
                <w:color w:val="000000" w:themeColor="text1"/>
                <w14:textFill>
                  <w14:solidFill>
                    <w14:schemeClr w14:val="tx1"/>
                  </w14:solidFill>
                </w14:textFill>
              </w:rPr>
              <w:t>Filling Cabinet</w:t>
            </w:r>
          </w:p>
        </w:tc>
        <w:tc>
          <w:tcPr>
            <w:tcW w:w="992" w:type="dxa"/>
          </w:tcPr>
          <w:p>
            <w:pPr>
              <w:tabs>
                <w:tab w:val="left" w:pos="3060"/>
              </w:tabs>
              <w:spacing w:before="20" w:after="20"/>
              <w:jc w:val="center"/>
              <w:rPr>
                <w:rFonts w:hint="default" w:ascii="Cambria" w:hAnsi="Cambria" w:eastAsia="Times New Roman"/>
                <w:color w:val="000000" w:themeColor="text1"/>
                <w14:textFill>
                  <w14:solidFill>
                    <w14:schemeClr w14:val="tx1"/>
                  </w14:solidFill>
                </w14:textFill>
              </w:rPr>
            </w:pPr>
            <w:r>
              <w:rPr>
                <w:rFonts w:hint="default" w:ascii="Cambria" w:hAnsi="Cambria" w:eastAsia="Times New Roman"/>
                <w:color w:val="000000" w:themeColor="text1"/>
                <w14:textFill>
                  <w14:solidFill>
                    <w14:schemeClr w14:val="tx1"/>
                  </w14:solidFill>
                </w14:textFill>
              </w:rPr>
              <w:t>unit</w:t>
            </w:r>
          </w:p>
        </w:tc>
        <w:tc>
          <w:tcPr>
            <w:tcW w:w="1276" w:type="dxa"/>
          </w:tcPr>
          <w:p>
            <w:pPr>
              <w:tabs>
                <w:tab w:val="left" w:pos="3060"/>
              </w:tabs>
              <w:spacing w:before="20" w:after="20"/>
              <w:jc w:val="center"/>
              <w:rPr>
                <w:rFonts w:hint="default" w:ascii="Cambria" w:hAnsi="Cambria" w:eastAsia="Times New Roman"/>
                <w:color w:val="000000" w:themeColor="text1"/>
                <w14:textFill>
                  <w14:solidFill>
                    <w14:schemeClr w14:val="tx1"/>
                  </w14:solidFill>
                </w14:textFill>
              </w:rPr>
            </w:pPr>
            <w:r>
              <w:rPr>
                <w:rFonts w:hint="default" w:ascii="Cambria" w:hAnsi="Cambria" w:eastAsia="Times New Roman"/>
                <w:color w:val="000000" w:themeColor="text1"/>
                <w14:textFill>
                  <w14:solidFill>
                    <w14:schemeClr w14:val="tx1"/>
                  </w14:solidFill>
                </w14:textFill>
              </w:rPr>
              <w:t>14</w:t>
            </w:r>
          </w:p>
        </w:tc>
        <w:tc>
          <w:tcPr>
            <w:tcW w:w="1281" w:type="dxa"/>
          </w:tcPr>
          <w:p>
            <w:pPr>
              <w:tabs>
                <w:tab w:val="left" w:pos="3060"/>
              </w:tabs>
              <w:spacing w:before="20" w:after="20"/>
              <w:jc w:val="center"/>
              <w:rPr>
                <w:rFonts w:ascii="Cambria" w:hAnsi="Cambria" w:eastAsia="Times New Roman"/>
                <w:color w:val="000000" w:themeColor="text1"/>
                <w14:textFill>
                  <w14:solidFill>
                    <w14:schemeClr w14:val="tx1"/>
                  </w14:solidFill>
                </w14:textFill>
              </w:rPr>
            </w:pPr>
          </w:p>
        </w:tc>
        <w:tc>
          <w:tcPr>
            <w:tcW w:w="1283" w:type="dxa"/>
          </w:tcPr>
          <w:p>
            <w:pPr>
              <w:tabs>
                <w:tab w:val="left" w:pos="3060"/>
              </w:tabs>
              <w:spacing w:before="20" w:after="20"/>
              <w:jc w:val="center"/>
              <w:rPr>
                <w:rFonts w:ascii="Cambria" w:hAnsi="Cambria" w:eastAsia="Times New Roman"/>
                <w:color w:val="000000" w:themeColor="text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8" w:type="dxa"/>
        </w:trPr>
        <w:tc>
          <w:tcPr>
            <w:tcW w:w="675" w:type="dxa"/>
          </w:tcPr>
          <w:p>
            <w:pPr>
              <w:tabs>
                <w:tab w:val="left" w:pos="3060"/>
              </w:tabs>
              <w:spacing w:before="20" w:after="20"/>
              <w:jc w:val="center"/>
              <w:rPr>
                <w:rFonts w:hint="default" w:ascii="Cambria" w:hAnsi="Cambria" w:eastAsia="Times New Roman"/>
                <w:color w:val="000000" w:themeColor="text1"/>
                <w14:textFill>
                  <w14:solidFill>
                    <w14:schemeClr w14:val="tx1"/>
                  </w14:solidFill>
                </w14:textFill>
              </w:rPr>
            </w:pPr>
            <w:r>
              <w:rPr>
                <w:rFonts w:hint="default" w:ascii="Cambria" w:hAnsi="Cambria" w:eastAsia="Times New Roman"/>
                <w:color w:val="000000" w:themeColor="text1"/>
                <w14:textFill>
                  <w14:solidFill>
                    <w14:schemeClr w14:val="tx1"/>
                  </w14:solidFill>
                </w14:textFill>
              </w:rPr>
              <w:t>30.</w:t>
            </w:r>
          </w:p>
        </w:tc>
        <w:tc>
          <w:tcPr>
            <w:tcW w:w="3181" w:type="dxa"/>
          </w:tcPr>
          <w:p>
            <w:pPr>
              <w:tabs>
                <w:tab w:val="left" w:pos="3060"/>
              </w:tabs>
              <w:spacing w:before="20" w:after="20"/>
              <w:jc w:val="both"/>
              <w:rPr>
                <w:rFonts w:hint="default" w:ascii="Cambria" w:hAnsi="Cambria" w:eastAsia="Times New Roman"/>
                <w:color w:val="000000" w:themeColor="text1"/>
                <w14:textFill>
                  <w14:solidFill>
                    <w14:schemeClr w14:val="tx1"/>
                  </w14:solidFill>
                </w14:textFill>
              </w:rPr>
            </w:pPr>
            <w:r>
              <w:rPr>
                <w:rFonts w:hint="default" w:ascii="Cambria" w:hAnsi="Cambria" w:eastAsia="Times New Roman"/>
                <w:color w:val="000000" w:themeColor="text1"/>
                <w14:textFill>
                  <w14:solidFill>
                    <w14:schemeClr w14:val="tx1"/>
                  </w14:solidFill>
                </w14:textFill>
              </w:rPr>
              <w:t>Kursi Tamu</w:t>
            </w:r>
          </w:p>
        </w:tc>
        <w:tc>
          <w:tcPr>
            <w:tcW w:w="992" w:type="dxa"/>
          </w:tcPr>
          <w:p>
            <w:pPr>
              <w:tabs>
                <w:tab w:val="left" w:pos="3060"/>
              </w:tabs>
              <w:spacing w:before="20" w:after="20"/>
              <w:jc w:val="center"/>
              <w:rPr>
                <w:rFonts w:hint="default" w:ascii="Cambria" w:hAnsi="Cambria" w:eastAsia="Times New Roman"/>
                <w:color w:val="000000" w:themeColor="text1"/>
                <w14:textFill>
                  <w14:solidFill>
                    <w14:schemeClr w14:val="tx1"/>
                  </w14:solidFill>
                </w14:textFill>
              </w:rPr>
            </w:pPr>
            <w:r>
              <w:rPr>
                <w:rFonts w:hint="default" w:ascii="Cambria" w:hAnsi="Cambria" w:eastAsia="Times New Roman"/>
                <w:color w:val="000000" w:themeColor="text1"/>
                <w14:textFill>
                  <w14:solidFill>
                    <w14:schemeClr w14:val="tx1"/>
                  </w14:solidFill>
                </w14:textFill>
              </w:rPr>
              <w:t>unit</w:t>
            </w:r>
          </w:p>
        </w:tc>
        <w:tc>
          <w:tcPr>
            <w:tcW w:w="1276" w:type="dxa"/>
          </w:tcPr>
          <w:p>
            <w:pPr>
              <w:tabs>
                <w:tab w:val="left" w:pos="3060"/>
              </w:tabs>
              <w:spacing w:before="20" w:after="20"/>
              <w:jc w:val="center"/>
              <w:rPr>
                <w:rFonts w:hint="default" w:ascii="Cambria" w:hAnsi="Cambria" w:eastAsia="Times New Roman"/>
                <w:color w:val="000000" w:themeColor="text1"/>
                <w14:textFill>
                  <w14:solidFill>
                    <w14:schemeClr w14:val="tx1"/>
                  </w14:solidFill>
                </w14:textFill>
              </w:rPr>
            </w:pPr>
            <w:r>
              <w:rPr>
                <w:rFonts w:hint="default" w:ascii="Cambria" w:hAnsi="Cambria" w:eastAsia="Times New Roman"/>
                <w:color w:val="000000" w:themeColor="text1"/>
                <w14:textFill>
                  <w14:solidFill>
                    <w14:schemeClr w14:val="tx1"/>
                  </w14:solidFill>
                </w14:textFill>
              </w:rPr>
              <w:t>3</w:t>
            </w:r>
          </w:p>
        </w:tc>
        <w:tc>
          <w:tcPr>
            <w:tcW w:w="1281" w:type="dxa"/>
          </w:tcPr>
          <w:p>
            <w:pPr>
              <w:tabs>
                <w:tab w:val="left" w:pos="3060"/>
              </w:tabs>
              <w:spacing w:before="20" w:after="20"/>
              <w:jc w:val="center"/>
              <w:rPr>
                <w:rFonts w:ascii="Cambria" w:hAnsi="Cambria" w:eastAsia="Times New Roman"/>
                <w:color w:val="000000" w:themeColor="text1"/>
                <w14:textFill>
                  <w14:solidFill>
                    <w14:schemeClr w14:val="tx1"/>
                  </w14:solidFill>
                </w14:textFill>
              </w:rPr>
            </w:pPr>
          </w:p>
        </w:tc>
        <w:tc>
          <w:tcPr>
            <w:tcW w:w="1283" w:type="dxa"/>
          </w:tcPr>
          <w:p>
            <w:pPr>
              <w:tabs>
                <w:tab w:val="left" w:pos="3060"/>
              </w:tabs>
              <w:spacing w:before="20" w:after="20"/>
              <w:jc w:val="center"/>
              <w:rPr>
                <w:rFonts w:ascii="Cambria" w:hAnsi="Cambria" w:eastAsia="Times New Roman"/>
                <w:color w:val="000000" w:themeColor="text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8" w:type="dxa"/>
        </w:trPr>
        <w:tc>
          <w:tcPr>
            <w:tcW w:w="675" w:type="dxa"/>
          </w:tcPr>
          <w:p>
            <w:pPr>
              <w:tabs>
                <w:tab w:val="left" w:pos="3060"/>
              </w:tabs>
              <w:spacing w:before="20" w:after="20"/>
              <w:jc w:val="center"/>
              <w:rPr>
                <w:rFonts w:hint="default" w:ascii="Cambria" w:hAnsi="Cambria" w:eastAsia="Times New Roman"/>
                <w:color w:val="000000" w:themeColor="text1"/>
                <w14:textFill>
                  <w14:solidFill>
                    <w14:schemeClr w14:val="tx1"/>
                  </w14:solidFill>
                </w14:textFill>
              </w:rPr>
            </w:pPr>
            <w:r>
              <w:rPr>
                <w:rFonts w:hint="default" w:ascii="Cambria" w:hAnsi="Cambria" w:eastAsia="Times New Roman"/>
                <w:color w:val="000000" w:themeColor="text1"/>
                <w14:textFill>
                  <w14:solidFill>
                    <w14:schemeClr w14:val="tx1"/>
                  </w14:solidFill>
                </w14:textFill>
              </w:rPr>
              <w:t>31.</w:t>
            </w:r>
          </w:p>
        </w:tc>
        <w:tc>
          <w:tcPr>
            <w:tcW w:w="3181" w:type="dxa"/>
          </w:tcPr>
          <w:p>
            <w:pPr>
              <w:tabs>
                <w:tab w:val="left" w:pos="3060"/>
              </w:tabs>
              <w:spacing w:before="20" w:after="20"/>
              <w:jc w:val="both"/>
              <w:rPr>
                <w:rFonts w:hint="default" w:ascii="Cambria" w:hAnsi="Cambria" w:eastAsia="Times New Roman"/>
                <w:color w:val="000000" w:themeColor="text1"/>
                <w14:textFill>
                  <w14:solidFill>
                    <w14:schemeClr w14:val="tx1"/>
                  </w14:solidFill>
                </w14:textFill>
              </w:rPr>
            </w:pPr>
            <w:r>
              <w:rPr>
                <w:rFonts w:hint="default" w:ascii="Cambria" w:hAnsi="Cambria" w:eastAsia="Times New Roman"/>
                <w:color w:val="000000" w:themeColor="text1"/>
                <w14:textFill>
                  <w14:solidFill>
                    <w14:schemeClr w14:val="tx1"/>
                  </w14:solidFill>
                </w14:textFill>
              </w:rPr>
              <w:t>Server Aplikasi</w:t>
            </w:r>
          </w:p>
        </w:tc>
        <w:tc>
          <w:tcPr>
            <w:tcW w:w="992" w:type="dxa"/>
          </w:tcPr>
          <w:p>
            <w:pPr>
              <w:tabs>
                <w:tab w:val="left" w:pos="3060"/>
              </w:tabs>
              <w:spacing w:before="20" w:after="20"/>
              <w:jc w:val="center"/>
              <w:rPr>
                <w:rFonts w:hint="default" w:ascii="Cambria" w:hAnsi="Cambria" w:eastAsia="Times New Roman"/>
                <w:color w:val="000000" w:themeColor="text1"/>
                <w14:textFill>
                  <w14:solidFill>
                    <w14:schemeClr w14:val="tx1"/>
                  </w14:solidFill>
                </w14:textFill>
              </w:rPr>
            </w:pPr>
            <w:r>
              <w:rPr>
                <w:rFonts w:hint="default" w:ascii="Cambria" w:hAnsi="Cambria" w:eastAsia="Times New Roman"/>
                <w:color w:val="000000" w:themeColor="text1"/>
                <w14:textFill>
                  <w14:solidFill>
                    <w14:schemeClr w14:val="tx1"/>
                  </w14:solidFill>
                </w14:textFill>
              </w:rPr>
              <w:t>unit</w:t>
            </w:r>
          </w:p>
        </w:tc>
        <w:tc>
          <w:tcPr>
            <w:tcW w:w="1276" w:type="dxa"/>
          </w:tcPr>
          <w:p>
            <w:pPr>
              <w:tabs>
                <w:tab w:val="left" w:pos="3060"/>
              </w:tabs>
              <w:spacing w:before="20" w:after="20"/>
              <w:jc w:val="center"/>
              <w:rPr>
                <w:rFonts w:hint="default" w:ascii="Cambria" w:hAnsi="Cambria" w:eastAsia="Times New Roman"/>
                <w:color w:val="000000" w:themeColor="text1"/>
                <w14:textFill>
                  <w14:solidFill>
                    <w14:schemeClr w14:val="tx1"/>
                  </w14:solidFill>
                </w14:textFill>
              </w:rPr>
            </w:pPr>
            <w:r>
              <w:rPr>
                <w:rFonts w:hint="default" w:ascii="Cambria" w:hAnsi="Cambria" w:eastAsia="Times New Roman"/>
                <w:color w:val="000000" w:themeColor="text1"/>
                <w14:textFill>
                  <w14:solidFill>
                    <w14:schemeClr w14:val="tx1"/>
                  </w14:solidFill>
                </w14:textFill>
              </w:rPr>
              <w:t>1</w:t>
            </w:r>
          </w:p>
        </w:tc>
        <w:tc>
          <w:tcPr>
            <w:tcW w:w="1281" w:type="dxa"/>
          </w:tcPr>
          <w:p>
            <w:pPr>
              <w:tabs>
                <w:tab w:val="left" w:pos="3060"/>
              </w:tabs>
              <w:spacing w:before="20" w:after="20"/>
              <w:jc w:val="center"/>
              <w:rPr>
                <w:rFonts w:ascii="Cambria" w:hAnsi="Cambria" w:eastAsia="Times New Roman"/>
                <w:color w:val="000000" w:themeColor="text1"/>
                <w14:textFill>
                  <w14:solidFill>
                    <w14:schemeClr w14:val="tx1"/>
                  </w14:solidFill>
                </w14:textFill>
              </w:rPr>
            </w:pPr>
          </w:p>
        </w:tc>
        <w:tc>
          <w:tcPr>
            <w:tcW w:w="1283" w:type="dxa"/>
          </w:tcPr>
          <w:p>
            <w:pPr>
              <w:tabs>
                <w:tab w:val="left" w:pos="3060"/>
              </w:tabs>
              <w:spacing w:before="20" w:after="20"/>
              <w:jc w:val="center"/>
              <w:rPr>
                <w:rFonts w:ascii="Cambria" w:hAnsi="Cambria" w:eastAsia="Times New Roman"/>
                <w:color w:val="000000" w:themeColor="text1"/>
                <w14:textFill>
                  <w14:solidFill>
                    <w14:schemeClr w14:val="tx1"/>
                  </w14:solidFill>
                </w14:textFill>
              </w:rPr>
            </w:pPr>
          </w:p>
        </w:tc>
      </w:tr>
    </w:tbl>
    <w:p>
      <w:pPr>
        <w:autoSpaceDE w:val="0"/>
        <w:autoSpaceDN w:val="0"/>
        <w:adjustRightInd w:val="0"/>
        <w:spacing w:before="120" w:line="276" w:lineRule="auto"/>
        <w:ind w:firstLine="851"/>
        <w:jc w:val="both"/>
        <w:rPr>
          <w:rFonts w:ascii="Cambria" w:hAnsi="Cambria"/>
          <w:color w:val="000000" w:themeColor="text1"/>
          <w:sz w:val="10"/>
          <w:szCs w:val="10"/>
          <w:lang w:eastAsia="id-ID"/>
          <w14:textFill>
            <w14:solidFill>
              <w14:schemeClr w14:val="tx1"/>
            </w14:solidFill>
          </w14:textFill>
        </w:rPr>
      </w:pPr>
    </w:p>
    <w:p>
      <w:pPr>
        <w:autoSpaceDE w:val="0"/>
        <w:autoSpaceDN w:val="0"/>
        <w:adjustRightInd w:val="0"/>
        <w:spacing w:before="120" w:line="276" w:lineRule="auto"/>
        <w:ind w:firstLine="709"/>
        <w:jc w:val="both"/>
        <w:rPr>
          <w:rFonts w:ascii="Cambria" w:hAnsi="Cambria"/>
          <w:lang w:eastAsia="id-ID"/>
        </w:rPr>
      </w:pPr>
      <w:r>
        <w:rPr>
          <w:rFonts w:ascii="Cambria" w:hAnsi="Cambria"/>
          <w:lang w:eastAsia="id-ID"/>
        </w:rPr>
        <w:t xml:space="preserve">Untuk mendukung kelancaran pelaksanaan pekerjaan, </w:t>
      </w:r>
      <w:r>
        <w:rPr>
          <w:rFonts w:ascii="Cambria" w:hAnsi="Cambria" w:cs="Times New Roman"/>
        </w:rPr>
        <w:t>Biro Administrasi Pengadaan dan Pengelolaan Barang Milik Daerah</w:t>
      </w:r>
      <w:r>
        <w:rPr>
          <w:rFonts w:ascii="Cambria" w:hAnsi="Cambria"/>
          <w:lang w:eastAsia="id-ID"/>
        </w:rPr>
        <w:t xml:space="preserve"> memiliki aset-aset yang tersedia dalam jumlah dan kualitas kurang memadai seperti : kendaraan dinas operasional roda 4 berjumlah 6 (enam) unit, kendaraan dinas roda 2 (dua) sebanyak 1 unit</w:t>
      </w:r>
      <w:r>
        <w:rPr>
          <w:rFonts w:ascii="Cambria" w:hAnsi="Cambria"/>
          <w:lang w:val="en-US" w:eastAsia="id-ID"/>
        </w:rPr>
        <w:t xml:space="preserve"> </w:t>
      </w:r>
      <w:r>
        <w:rPr>
          <w:rFonts w:ascii="Cambria" w:hAnsi="Cambria"/>
          <w:lang w:eastAsia="id-ID"/>
        </w:rPr>
        <w:t>serta peralatan/perlengkapan kantor lainnya dengan anggaran untuk biaya pemeliharaan yang juga cukup memadai.</w:t>
      </w:r>
    </w:p>
    <w:p>
      <w:pPr>
        <w:autoSpaceDE w:val="0"/>
        <w:autoSpaceDN w:val="0"/>
        <w:adjustRightInd w:val="0"/>
        <w:spacing w:before="120" w:line="276" w:lineRule="auto"/>
        <w:ind w:firstLine="709"/>
        <w:jc w:val="both"/>
        <w:rPr>
          <w:rFonts w:ascii="Cambria" w:hAnsi="Cambria"/>
          <w:lang w:eastAsia="id-ID"/>
        </w:rPr>
      </w:pPr>
      <w:r>
        <w:rPr>
          <w:rFonts w:ascii="Cambria" w:hAnsi="Cambria"/>
          <w:lang w:eastAsia="id-ID"/>
        </w:rPr>
        <w:t xml:space="preserve">Selain aset-aset di atas, yang dikelompokkan ke dalam Aset Berwujud, </w:t>
      </w:r>
      <w:r>
        <w:rPr>
          <w:rFonts w:ascii="Cambria" w:hAnsi="Cambria" w:cs="Times New Roman"/>
        </w:rPr>
        <w:t>Biro Administrasi Pengadaan dan Pengelolaan Barang Milik Daerah</w:t>
      </w:r>
      <w:r>
        <w:rPr>
          <w:rFonts w:ascii="Cambria" w:hAnsi="Cambria"/>
          <w:lang w:eastAsia="id-ID"/>
        </w:rPr>
        <w:t xml:space="preserve"> juga memiliki</w:t>
      </w:r>
      <w:r>
        <w:rPr>
          <w:rFonts w:ascii="Cambria" w:hAnsi="Cambria"/>
          <w:lang w:val="en-US" w:eastAsia="id-ID"/>
        </w:rPr>
        <w:t xml:space="preserve"> </w:t>
      </w:r>
      <w:r>
        <w:rPr>
          <w:rFonts w:ascii="Cambria" w:hAnsi="Cambria"/>
          <w:lang w:eastAsia="id-ID"/>
        </w:rPr>
        <w:t>aset lainnya yang dikelompokkan ke dalam Aset Tidak Berwujud, seperti pengembangan aplikasi perangkat lunak</w:t>
      </w:r>
      <w:r>
        <w:rPr>
          <w:rFonts w:ascii="Cambria" w:hAnsi="Cambria"/>
          <w:lang w:val="en-US" w:eastAsia="id-ID"/>
        </w:rPr>
        <w:t xml:space="preserve"> yaitu</w:t>
      </w:r>
      <w:r>
        <w:rPr>
          <w:rFonts w:ascii="Cambria" w:hAnsi="Cambria"/>
          <w:lang w:eastAsia="id-ID"/>
        </w:rPr>
        <w:t xml:space="preserve"> :</w:t>
      </w:r>
    </w:p>
    <w:p>
      <w:pPr>
        <w:pStyle w:val="15"/>
        <w:numPr>
          <w:ilvl w:val="6"/>
          <w:numId w:val="5"/>
        </w:numPr>
        <w:tabs>
          <w:tab w:val="clear" w:pos="5400"/>
        </w:tabs>
        <w:autoSpaceDE w:val="0"/>
        <w:autoSpaceDN w:val="0"/>
        <w:adjustRightInd w:val="0"/>
        <w:spacing w:before="120" w:line="276" w:lineRule="auto"/>
        <w:ind w:left="1134"/>
        <w:jc w:val="both"/>
        <w:rPr>
          <w:rFonts w:ascii="Cambria" w:hAnsi="Cambria"/>
          <w:lang w:eastAsia="id-ID"/>
        </w:rPr>
      </w:pPr>
      <w:r>
        <w:rPr>
          <w:rFonts w:ascii="Cambria" w:hAnsi="Cambria"/>
          <w:lang w:eastAsia="id-ID"/>
        </w:rPr>
        <w:t>Sistem Informasi Manajemen Barang Milik Daerah</w:t>
      </w:r>
      <w:r>
        <w:rPr>
          <w:rFonts w:hint="default" w:ascii="Cambria" w:hAnsi="Cambria"/>
          <w:lang w:eastAsia="id-ID"/>
        </w:rPr>
        <w:t xml:space="preserve"> (Simbada)</w:t>
      </w:r>
    </w:p>
    <w:p>
      <w:pPr>
        <w:pStyle w:val="15"/>
        <w:numPr>
          <w:ilvl w:val="6"/>
          <w:numId w:val="5"/>
        </w:numPr>
        <w:tabs>
          <w:tab w:val="clear" w:pos="5400"/>
        </w:tabs>
        <w:autoSpaceDE w:val="0"/>
        <w:autoSpaceDN w:val="0"/>
        <w:adjustRightInd w:val="0"/>
        <w:spacing w:before="120" w:line="276" w:lineRule="auto"/>
        <w:ind w:left="1134"/>
        <w:jc w:val="both"/>
        <w:rPr>
          <w:rFonts w:ascii="Cambria" w:hAnsi="Cambria"/>
          <w:lang w:eastAsia="id-ID"/>
        </w:rPr>
      </w:pPr>
      <w:r>
        <w:rPr>
          <w:rFonts w:hint="default" w:ascii="Cambria" w:hAnsi="Cambria"/>
          <w:lang w:eastAsia="id-ID"/>
        </w:rPr>
        <w:t>SiRUP (Sistem Rencana Umum Pengadaan)</w:t>
      </w:r>
    </w:p>
    <w:p>
      <w:pPr>
        <w:pStyle w:val="15"/>
        <w:numPr>
          <w:ilvl w:val="6"/>
          <w:numId w:val="5"/>
        </w:numPr>
        <w:tabs>
          <w:tab w:val="clear" w:pos="5400"/>
        </w:tabs>
        <w:autoSpaceDE w:val="0"/>
        <w:autoSpaceDN w:val="0"/>
        <w:adjustRightInd w:val="0"/>
        <w:spacing w:before="120" w:line="276" w:lineRule="auto"/>
        <w:ind w:left="1134"/>
        <w:jc w:val="both"/>
        <w:rPr>
          <w:rFonts w:ascii="Cambria" w:hAnsi="Cambria"/>
          <w:lang w:eastAsia="id-ID"/>
        </w:rPr>
      </w:pPr>
      <w:r>
        <w:rPr>
          <w:rFonts w:hint="default" w:ascii="Cambria" w:hAnsi="Cambria"/>
          <w:lang w:eastAsia="id-ID"/>
        </w:rPr>
        <w:t>Sistem Informasi Perencanaan Harga (SiPAGA)</w:t>
      </w:r>
    </w:p>
    <w:p>
      <w:pPr>
        <w:pStyle w:val="15"/>
        <w:numPr>
          <w:ilvl w:val="6"/>
          <w:numId w:val="5"/>
        </w:numPr>
        <w:tabs>
          <w:tab w:val="clear" w:pos="5400"/>
        </w:tabs>
        <w:autoSpaceDE w:val="0"/>
        <w:autoSpaceDN w:val="0"/>
        <w:adjustRightInd w:val="0"/>
        <w:spacing w:before="120" w:line="276" w:lineRule="auto"/>
        <w:ind w:left="1134"/>
        <w:jc w:val="both"/>
        <w:rPr>
          <w:rFonts w:ascii="Cambria" w:hAnsi="Cambria"/>
          <w:lang w:eastAsia="id-ID"/>
        </w:rPr>
      </w:pPr>
      <w:r>
        <w:rPr>
          <w:rFonts w:hint="default" w:ascii="Cambria" w:hAnsi="Cambria"/>
          <w:lang w:eastAsia="id-ID"/>
        </w:rPr>
        <w:t>Sistem Kinerja Penyedia (SiKAP)</w:t>
      </w:r>
    </w:p>
    <w:p>
      <w:pPr>
        <w:pStyle w:val="15"/>
        <w:numPr>
          <w:ilvl w:val="6"/>
          <w:numId w:val="5"/>
        </w:numPr>
        <w:tabs>
          <w:tab w:val="clear" w:pos="5400"/>
        </w:tabs>
        <w:autoSpaceDE w:val="0"/>
        <w:autoSpaceDN w:val="0"/>
        <w:adjustRightInd w:val="0"/>
        <w:spacing w:before="120" w:line="276" w:lineRule="auto"/>
        <w:ind w:left="1134"/>
        <w:jc w:val="both"/>
        <w:rPr>
          <w:rFonts w:ascii="Cambria" w:hAnsi="Cambria"/>
          <w:lang w:eastAsia="id-ID"/>
        </w:rPr>
      </w:pPr>
      <w:r>
        <w:rPr>
          <w:rFonts w:hint="default" w:ascii="Cambria" w:hAnsi="Cambria"/>
          <w:i/>
          <w:iCs/>
          <w:lang w:eastAsia="id-ID"/>
        </w:rPr>
        <w:t>e-Purchasing</w:t>
      </w:r>
    </w:p>
    <w:p>
      <w:pPr>
        <w:pStyle w:val="15"/>
        <w:numPr>
          <w:ilvl w:val="6"/>
          <w:numId w:val="5"/>
        </w:numPr>
        <w:tabs>
          <w:tab w:val="clear" w:pos="5400"/>
        </w:tabs>
        <w:autoSpaceDE w:val="0"/>
        <w:autoSpaceDN w:val="0"/>
        <w:adjustRightInd w:val="0"/>
        <w:spacing w:before="120" w:line="276" w:lineRule="auto"/>
        <w:ind w:left="1134"/>
        <w:jc w:val="both"/>
        <w:rPr>
          <w:rFonts w:ascii="Cambria" w:hAnsi="Cambria"/>
          <w:lang w:eastAsia="id-ID"/>
        </w:rPr>
      </w:pPr>
      <w:r>
        <w:rPr>
          <w:rFonts w:hint="default" w:ascii="Cambria" w:hAnsi="Cambria"/>
          <w:lang w:eastAsia="id-ID"/>
        </w:rPr>
        <w:t>Reporting Pengadaan Barang dan Jasa</w:t>
      </w:r>
    </w:p>
    <w:p>
      <w:pPr>
        <w:widowControl w:val="0"/>
        <w:numPr>
          <w:ilvl w:val="1"/>
          <w:numId w:val="16"/>
        </w:numPr>
        <w:spacing w:after="120" w:line="288" w:lineRule="auto"/>
        <w:ind w:left="425" w:hanging="425"/>
        <w:jc w:val="both"/>
        <w:rPr>
          <w:rFonts w:ascii="Cambria" w:hAnsi="Cambria"/>
          <w:b/>
          <w:bCs/>
          <w:lang w:val="sv-SE"/>
        </w:rPr>
      </w:pPr>
      <w:r>
        <w:rPr>
          <w:rFonts w:ascii="Cambria" w:hAnsi="Cambria"/>
          <w:b/>
          <w:bCs/>
          <w:lang w:val="sv-SE"/>
        </w:rPr>
        <w:t xml:space="preserve">Kinerja Pelayanan </w:t>
      </w:r>
      <w:r>
        <w:rPr>
          <w:rFonts w:ascii="Cambria" w:hAnsi="Cambria" w:cs="Times New Roman"/>
          <w:b/>
        </w:rPr>
        <w:t>Biro Administrasi Pengadaan dan Pengelolaan Barang Milik Daerah</w:t>
      </w:r>
      <w:r>
        <w:rPr>
          <w:rFonts w:ascii="Cambria" w:hAnsi="Cambria"/>
          <w:b/>
          <w:bCs/>
        </w:rPr>
        <w:t xml:space="preserve"> </w:t>
      </w:r>
    </w:p>
    <w:p>
      <w:pPr>
        <w:tabs>
          <w:tab w:val="left" w:pos="0"/>
        </w:tabs>
        <w:spacing w:line="276" w:lineRule="auto"/>
        <w:ind w:firstLine="544"/>
        <w:jc w:val="both"/>
        <w:rPr>
          <w:rFonts w:ascii="Cambria" w:hAnsi="Cambria" w:cstheme="minorHAnsi"/>
        </w:rPr>
      </w:pPr>
      <w:r>
        <w:rPr>
          <w:rFonts w:ascii="Cambria" w:hAnsi="Cambria" w:cstheme="minorHAnsi"/>
        </w:rPr>
        <w:t xml:space="preserve">Dalam rangka peningkatan tata kelola dan penatausahaan aset khususnya pada Pemerintah Prov. Sumatera Barat, telah dibentuk Biro Pengelolaan Aset Daerah Sekretariat Daerah Prov. Sumatera Barat pada tahun 2012 sebagai </w:t>
      </w:r>
      <w:r>
        <w:rPr>
          <w:rFonts w:ascii="Cambria" w:hAnsi="Cambria" w:cstheme="minorHAnsi"/>
          <w:i/>
        </w:rPr>
        <w:t>leading sector</w:t>
      </w:r>
      <w:r>
        <w:rPr>
          <w:rFonts w:ascii="Cambria" w:hAnsi="Cambria" w:cstheme="minorHAnsi"/>
        </w:rPr>
        <w:t xml:space="preserve"> yang akan mengkoordinir pengelolaan aset pada SKPD Prov. Sumatera Barat dan tahun 2017 Biro Pengelolaan Aset Daerah diganti dengan nama Biro Administrasi Pengadaan dan Pengelolaan Barang Milik Daerah. Biro Administrasi Pengadaan dan Pengelolaan Barang Milik Daerah sebagai salah satu OPD penentu baiknya kualitas LKPD Pemerintah Provinsi melalui nilai Aset Tetap pada Neraca Aset yang dikalkulasi dari nilai Aset Tetap seluruh OPD.  Dengan dibentuknya Biro Administrasi Pengadaan dan Pengelolaan Barang Milik Daerah diharapkan dapat meningkatkan kinerja pemerintah dalam hal tertibnya penatausahaan dan pengelolaan Aset yang sebelumnya tidak efektif berada pada Bidang Aset di DPKD Provinsi Sumatera Barat.</w:t>
      </w:r>
    </w:p>
    <w:p>
      <w:pPr>
        <w:tabs>
          <w:tab w:val="left" w:pos="0"/>
        </w:tabs>
        <w:spacing w:line="276" w:lineRule="auto"/>
        <w:ind w:firstLine="544"/>
        <w:jc w:val="both"/>
        <w:rPr>
          <w:rFonts w:ascii="Cambria" w:hAnsi="Cambria" w:cstheme="minorHAnsi"/>
        </w:rPr>
      </w:pPr>
      <w:r>
        <w:rPr>
          <w:rFonts w:ascii="Cambria" w:hAnsi="Cambria" w:cstheme="minorHAnsi"/>
        </w:rPr>
        <w:t xml:space="preserve">Kinerja Bidang Aset pada tahun 2009 yang mendapat opini Disclaimer dianggap tidak mendatangkan output yang baik bagi pencapaian opini pemeriksaan BPK-RI (Disclaimer), yang kemudian menjadi latar belakang dirubahnya struktur organisasi Bidang Aset dari Eselon III di DPKD Prov. Sumatera Barat menjadi Biro Pengelolaan Aset Daerah (Eselon II.b) di Sekretariat Daerah Prov. Sumatera Barat  yang  sejak dibentuk pada tahun anggaran 2012 hingga saat ini di tahun 2016 meningkat secara signifikan. Pada tahun 2012, LKPD Prov. Sumatera Barat mendapat opini Wajar Dengan Pengecualian (WDP) dari BPK-RI. Selanjutnya pada tahun 2013 mendapat opini Wajar Tanpa Pengecualian Dengan Paragraf Penjelas (WTP DPP). Adapun Paragraf Penjelas yang dimaksud merupakan temuan BPK-RI terkait Aset Lainnya yang berjumlah Rp. 1,1 Triliun yang masih tercatat pada Neraca Aset Pemerintah Prov. Sumatera Barat. </w:t>
      </w:r>
    </w:p>
    <w:p>
      <w:pPr>
        <w:tabs>
          <w:tab w:val="left" w:pos="0"/>
        </w:tabs>
        <w:spacing w:line="276" w:lineRule="auto"/>
        <w:ind w:firstLine="544"/>
        <w:jc w:val="both"/>
        <w:rPr>
          <w:rFonts w:ascii="Cambria" w:hAnsi="Cambria" w:cstheme="minorHAnsi"/>
        </w:rPr>
      </w:pPr>
      <w:r>
        <w:rPr>
          <w:rFonts w:ascii="Cambria" w:hAnsi="Cambria" w:cstheme="minorHAnsi"/>
        </w:rPr>
        <w:t>Atas temuan tersebut, pada tahun 2014 disusun Rencana Aksi Penyelesaian Permasalahan Aset Pemerintah Prov. Sumatera Barat untuk menjawab temuan tersebut dan segera ditindaklanjuti sesuai proses yang seharusnya. Dengan adanya Rencana Aksi tersebut dan progress penyelesaian yang signifikan, LKPD Pemerintah Prov. Sumatera Barat mendapat opini Wajar Tanpa Pengecualian (WTP) Murni dari BPK-RI untuk tahun 2014</w:t>
      </w:r>
      <w:r>
        <w:rPr>
          <w:rFonts w:hint="default" w:ascii="Cambria" w:hAnsi="Cambria" w:cstheme="minorHAnsi"/>
        </w:rPr>
        <w:t xml:space="preserve"> - 2019</w:t>
      </w:r>
      <w:r>
        <w:rPr>
          <w:rFonts w:ascii="Cambria" w:hAnsi="Cambria" w:cstheme="minorHAnsi"/>
        </w:rPr>
        <w:t>.</w:t>
      </w:r>
    </w:p>
    <w:p>
      <w:pPr>
        <w:tabs>
          <w:tab w:val="left" w:pos="0"/>
        </w:tabs>
        <w:spacing w:line="276" w:lineRule="auto"/>
        <w:ind w:firstLine="544"/>
        <w:jc w:val="both"/>
        <w:rPr>
          <w:rFonts w:ascii="Cambria" w:hAnsi="Cambria" w:cstheme="minorHAnsi"/>
        </w:rPr>
      </w:pPr>
      <w:r>
        <w:rPr>
          <w:rFonts w:ascii="Cambria" w:hAnsi="Cambria" w:cstheme="minorHAnsi"/>
        </w:rPr>
        <w:t xml:space="preserve">Selanjutnya pada tahun 2014 berdasarkan Peraturan Gubernur Sumatera Barat Nomor 11 Tahun 2014 tentang Pembentukan Unit Layanan Pengadaan Provinsi Sumatera Barat, dibentuklah Unit Layanan Pengadaan (ULP) Prov. Sumatera Barat yang kedudukannya </w:t>
      </w:r>
      <w:r>
        <w:rPr>
          <w:rFonts w:ascii="Cambria" w:hAnsi="Cambria" w:cstheme="minorHAnsi"/>
          <w:i/>
        </w:rPr>
        <w:t>ad-hoc</w:t>
      </w:r>
      <w:r>
        <w:rPr>
          <w:rFonts w:ascii="Cambria" w:hAnsi="Cambria" w:cstheme="minorHAnsi"/>
        </w:rPr>
        <w:t xml:space="preserve"> pada salah satu Bagian di Biro Administrasi Pengadaan dan Pengelolaan Barang Milik Daerah. Dengan bergabungnya ULP kedalam struktur organisasi Biro Aset, maka bertambahlah tugas dan fungsi Biro Aset sebagai </w:t>
      </w:r>
      <w:r>
        <w:rPr>
          <w:rFonts w:ascii="Cambria" w:hAnsi="Cambria" w:cstheme="minorHAnsi"/>
          <w:i/>
        </w:rPr>
        <w:t>leading sector</w:t>
      </w:r>
      <w:r>
        <w:rPr>
          <w:rFonts w:ascii="Cambria" w:hAnsi="Cambria" w:cstheme="minorHAnsi"/>
        </w:rPr>
        <w:t xml:space="preserve"> layanan lelang pengadaan untuk seluruh OPD lingkup Pemprov. Sumatera Barat.   </w:t>
      </w:r>
    </w:p>
    <w:p>
      <w:pPr>
        <w:tabs>
          <w:tab w:val="left" w:pos="0"/>
        </w:tabs>
        <w:spacing w:line="276" w:lineRule="auto"/>
        <w:ind w:firstLine="544"/>
        <w:jc w:val="both"/>
        <w:rPr>
          <w:rFonts w:ascii="Cambria" w:hAnsi="Cambria" w:cstheme="minorHAnsi"/>
        </w:rPr>
      </w:pPr>
      <w:r>
        <w:rPr>
          <w:rFonts w:ascii="Cambria" w:hAnsi="Cambria" w:cstheme="minorHAnsi"/>
        </w:rPr>
        <w:t>Tugas yang diamanatkan kepada Biro Administrasi Pengadaan dan Pengelolaan Barang Milik Daerah Provinsi Sumatera Barat memegang peran yang strategis dalam tertib administrasi aset di Pemerintah Provinsi Sumatera Barat. Kinerja pelayanan OPD dapat dilihat dari hasil pelaksanaan kegiatan berupa pencapaian sasaran yang ditargetkan dengan tolok ukur keberhasilan yang tercermin dalam indikator-indikator seperti peningkatan penyelesaian aset bermasalah, peningkatan jumlah Tanah Pemerintah Provinsi Sumatera Barat yang bersertifikat, peningkatan keamanan aset, optimalnya pemanfaatan aset idle yang dapat dipinjampakai atau disewakan dan lain sebagainya.</w:t>
      </w:r>
    </w:p>
    <w:p>
      <w:pPr>
        <w:tabs>
          <w:tab w:val="left" w:pos="0"/>
        </w:tabs>
        <w:spacing w:line="276" w:lineRule="auto"/>
        <w:ind w:firstLine="544"/>
        <w:jc w:val="both"/>
        <w:rPr>
          <w:rFonts w:ascii="Cambria" w:hAnsi="Cambria" w:cstheme="minorHAnsi"/>
        </w:rPr>
      </w:pPr>
      <w:r>
        <w:rPr>
          <w:rFonts w:ascii="Cambria" w:hAnsi="Cambria" w:cstheme="minorHAnsi"/>
        </w:rPr>
        <w:t>Oleh karena Rencana Strategis (Renstra) Biro Administrasi Pengadaan dan Pengelolaan Barang Milik Daerah baru disusun secara lengkap mulai tahun 2014, maka target dan capaian indikator baru dapat terukur dari tahun 2013 kebawah. Secara umum, kinerja Biro Administrasi Pengadaan dan Pengelolaan Barang Milik Daerah dapat dijabarkan pada Tabel berikut :</w:t>
      </w:r>
    </w:p>
    <w:p>
      <w:pPr>
        <w:tabs>
          <w:tab w:val="left" w:pos="0"/>
        </w:tabs>
        <w:spacing w:line="276" w:lineRule="auto"/>
        <w:jc w:val="both"/>
        <w:rPr>
          <w:rFonts w:ascii="Cambria" w:hAnsi="Cambria" w:cs="Tahoma"/>
        </w:rPr>
      </w:pPr>
    </w:p>
    <w:p>
      <w:pPr>
        <w:tabs>
          <w:tab w:val="left" w:pos="0"/>
        </w:tabs>
        <w:spacing w:line="276" w:lineRule="auto"/>
        <w:jc w:val="both"/>
        <w:rPr>
          <w:rFonts w:ascii="Tahoma" w:hAnsi="Tahoma" w:cs="Tahoma"/>
          <w:sz w:val="20"/>
          <w:szCs w:val="20"/>
        </w:rPr>
      </w:pPr>
    </w:p>
    <w:p>
      <w:pPr>
        <w:tabs>
          <w:tab w:val="left" w:pos="0"/>
        </w:tabs>
        <w:spacing w:line="276" w:lineRule="auto"/>
        <w:jc w:val="both"/>
        <w:rPr>
          <w:rFonts w:ascii="Tahoma" w:hAnsi="Tahoma" w:cs="Tahoma"/>
          <w:sz w:val="20"/>
          <w:szCs w:val="20"/>
        </w:rPr>
        <w:sectPr>
          <w:headerReference r:id="rId3" w:type="default"/>
          <w:footerReference r:id="rId4" w:type="default"/>
          <w:pgSz w:w="11906" w:h="16838"/>
          <w:pgMar w:top="1418" w:right="1418" w:bottom="1247" w:left="1701" w:header="709" w:footer="890" w:gutter="0"/>
          <w:pgNumType w:start="11"/>
          <w:cols w:space="708" w:num="1"/>
          <w:docGrid w:linePitch="360" w:charSpace="0"/>
        </w:sectPr>
      </w:pPr>
    </w:p>
    <w:p>
      <w:pPr>
        <w:spacing w:before="120" w:after="0" w:line="240" w:lineRule="auto"/>
        <w:ind w:left="1077" w:hanging="1077"/>
        <w:jc w:val="center"/>
        <w:rPr>
          <w:rFonts w:ascii="Cambria" w:hAnsi="Cambria" w:cs="Tahoma"/>
          <w:b/>
        </w:rPr>
      </w:pPr>
      <w:r>
        <w:rPr>
          <w:rFonts w:ascii="Cambria" w:hAnsi="Cambria" w:cs="Tahoma"/>
          <w:b/>
        </w:rPr>
        <w:t>Tabel 2.5</w:t>
      </w:r>
    </w:p>
    <w:p>
      <w:pPr>
        <w:spacing w:after="0" w:line="240" w:lineRule="auto"/>
        <w:ind w:left="1077" w:hanging="1077"/>
        <w:jc w:val="center"/>
        <w:rPr>
          <w:rFonts w:ascii="Cambria" w:hAnsi="Cambria" w:cs="Tahoma"/>
          <w:b/>
        </w:rPr>
      </w:pPr>
      <w:r>
        <w:rPr>
          <w:rFonts w:ascii="Cambria" w:hAnsi="Cambria" w:cs="Tahoma"/>
          <w:b/>
        </w:rPr>
        <w:t>Pencapaian Kinerja Pelayanan Biro Administrasi Pengadaan dan Pengelolaan Barang Milik Daerah</w:t>
      </w:r>
    </w:p>
    <w:p>
      <w:pPr>
        <w:tabs>
          <w:tab w:val="left" w:pos="0"/>
        </w:tabs>
        <w:spacing w:after="0" w:line="240" w:lineRule="auto"/>
        <w:jc w:val="center"/>
        <w:rPr>
          <w:rFonts w:ascii="Tahoma" w:hAnsi="Tahoma" w:cs="Tahoma"/>
          <w:sz w:val="20"/>
          <w:szCs w:val="20"/>
        </w:rPr>
      </w:pPr>
    </w:p>
    <w:p>
      <w:pPr>
        <w:tabs>
          <w:tab w:val="left" w:pos="0"/>
        </w:tabs>
        <w:jc w:val="both"/>
        <w:rPr>
          <w:rFonts w:ascii="Tahoma" w:hAnsi="Tahoma" w:cs="Tahoma"/>
          <w:sz w:val="20"/>
          <w:szCs w:val="20"/>
        </w:rPr>
      </w:pPr>
      <w:bookmarkStart w:id="0" w:name="_MON_1580635505"/>
      <w:bookmarkEnd w:id="0"/>
      <w:r>
        <w:rPr>
          <w:rFonts w:ascii="Tahoma" w:hAnsi="Tahoma" w:cs="Tahoma"/>
          <w:sz w:val="20"/>
          <w:szCs w:val="20"/>
        </w:rPr>
        <w:object>
          <v:shape id="_x0000_i1025" o:spt="75" type="#_x0000_t75" style="height:246pt;width:702pt;" o:ole="t" filled="f" o:preferrelative="t" stroked="f" coordsize="21600,21600">
            <v:path/>
            <v:fill on="f" focussize="0,0"/>
            <v:stroke on="f" joinstyle="miter"/>
            <v:imagedata r:id="rId12" o:title=""/>
            <o:lock v:ext="edit" aspectratio="t"/>
            <w10:wrap type="none"/>
            <w10:anchorlock/>
          </v:shape>
          <o:OLEObject Type="Embed" ProgID="Excel.Sheet.12" ShapeID="_x0000_i1025" DrawAspect="Content" ObjectID="_1468075725" r:id="rId11">
            <o:LockedField>false</o:LockedField>
          </o:OLEObject>
        </w:object>
      </w:r>
    </w:p>
    <w:p>
      <w:pPr>
        <w:tabs>
          <w:tab w:val="left" w:pos="0"/>
        </w:tabs>
        <w:jc w:val="both"/>
        <w:rPr>
          <w:rFonts w:ascii="Tahoma" w:hAnsi="Tahoma" w:cs="Tahoma"/>
          <w:sz w:val="20"/>
          <w:szCs w:val="20"/>
        </w:rPr>
      </w:pPr>
    </w:p>
    <w:p>
      <w:pPr>
        <w:tabs>
          <w:tab w:val="left" w:pos="0"/>
        </w:tabs>
        <w:jc w:val="both"/>
        <w:rPr>
          <w:rFonts w:ascii="Tahoma" w:hAnsi="Tahoma" w:cs="Tahoma"/>
          <w:sz w:val="20"/>
          <w:szCs w:val="20"/>
        </w:rPr>
      </w:pPr>
    </w:p>
    <w:p>
      <w:pPr>
        <w:tabs>
          <w:tab w:val="left" w:pos="0"/>
        </w:tabs>
        <w:ind w:firstLine="544"/>
        <w:jc w:val="both"/>
        <w:rPr>
          <w:rFonts w:ascii="Tahoma" w:hAnsi="Tahoma" w:cs="Tahoma"/>
          <w:sz w:val="20"/>
          <w:szCs w:val="20"/>
        </w:rPr>
      </w:pPr>
    </w:p>
    <w:p>
      <w:pPr>
        <w:tabs>
          <w:tab w:val="left" w:pos="0"/>
        </w:tabs>
        <w:jc w:val="both"/>
        <w:rPr>
          <w:rFonts w:ascii="Tahoma" w:hAnsi="Tahoma" w:cs="Tahoma"/>
          <w:sz w:val="20"/>
          <w:szCs w:val="20"/>
        </w:rPr>
        <w:sectPr>
          <w:pgSz w:w="16838" w:h="11906" w:orient="landscape"/>
          <w:pgMar w:top="1831" w:right="1418" w:bottom="1797" w:left="1701" w:header="907" w:footer="890" w:gutter="0"/>
          <w:cols w:space="708" w:num="1"/>
          <w:docGrid w:linePitch="360" w:charSpace="0"/>
        </w:sectPr>
      </w:pPr>
    </w:p>
    <w:p>
      <w:pPr>
        <w:tabs>
          <w:tab w:val="left" w:pos="0"/>
        </w:tabs>
        <w:spacing w:after="0" w:line="264" w:lineRule="auto"/>
        <w:jc w:val="both"/>
        <w:rPr>
          <w:rFonts w:ascii="Cambria" w:hAnsi="Cambria" w:cs="Tahoma"/>
        </w:rPr>
      </w:pPr>
      <w:r>
        <w:rPr>
          <w:rFonts w:ascii="Cambria" w:hAnsi="Cambria" w:cs="Tahoma"/>
        </w:rPr>
        <w:t xml:space="preserve">Berdasarkan tabel diatas, diketahui bahwa terdapat 10 (sepuluh) indikator kinerja yang digunakan untuk mengukur kinerja pelayanan Biro Administrasi Pengadaan dan Pengelolaan Barang Milik Daerah Provinsi Sumatera Barat selama Tahun 2013-2015. Dari 10 (sepuluh) indikator tersebut terdapat 2 (dua) indikator yang belum bisa mencapai target sesuai dengan yang telah ditetapkan. Kedua indikator tersebut adalah Persentase Jumlah Tanah Pemprov. Sumbar yang bersertifikat pada tahun 2014 dan 2015 dan Persentase aset tidak bermanfaat yang dihapuskan pada tahun 2015. Berikut uraian indikator yang menggambarkan kinerja layanan Biro Administrasi Pengadaan dan Pengelolaan Barang Milik Daerah Provinsi Sumatera Barat dalam 3 (tiga) tahun </w:t>
      </w:r>
      <w:r>
        <w:rPr>
          <w:rFonts w:hint="default" w:ascii="Cambria" w:hAnsi="Cambria" w:cs="Tahoma"/>
        </w:rPr>
        <w:t>tersebut</w:t>
      </w:r>
      <w:r>
        <w:rPr>
          <w:rFonts w:ascii="Cambria" w:hAnsi="Cambria" w:cs="Tahoma"/>
        </w:rPr>
        <w:t>.</w:t>
      </w:r>
    </w:p>
    <w:p>
      <w:pPr>
        <w:tabs>
          <w:tab w:val="left" w:pos="0"/>
        </w:tabs>
        <w:spacing w:after="0" w:line="264" w:lineRule="auto"/>
        <w:jc w:val="both"/>
        <w:rPr>
          <w:rFonts w:ascii="Cambria" w:hAnsi="Cambria" w:cs="Tahoma"/>
        </w:rPr>
      </w:pPr>
    </w:p>
    <w:p>
      <w:pPr>
        <w:tabs>
          <w:tab w:val="left" w:pos="720"/>
        </w:tabs>
        <w:spacing w:after="0" w:line="264" w:lineRule="auto"/>
        <w:ind w:left="720" w:hanging="720"/>
        <w:jc w:val="both"/>
        <w:rPr>
          <w:rFonts w:ascii="Cambria" w:hAnsi="Cambria" w:cs="Tahoma"/>
          <w:b/>
          <w:i/>
        </w:rPr>
      </w:pPr>
      <w:r>
        <w:rPr>
          <w:rFonts w:ascii="Cambria" w:hAnsi="Cambria" w:cs="Tahoma"/>
          <w:b/>
          <w:i/>
        </w:rPr>
        <w:t>2.3.1</w:t>
      </w:r>
      <w:r>
        <w:rPr>
          <w:rFonts w:ascii="Cambria" w:hAnsi="Cambria" w:cs="Tahoma"/>
          <w:b/>
          <w:i/>
        </w:rPr>
        <w:tab/>
      </w:r>
      <w:r>
        <w:rPr>
          <w:rFonts w:ascii="Cambria" w:hAnsi="Cambria" w:cs="Tahoma"/>
          <w:b/>
          <w:i/>
        </w:rPr>
        <w:t>Indikator Kesesuaian Belanja Modal SKPD (APBD) dengan RKBMD dan RKPBMD</w:t>
      </w:r>
      <w:r>
        <w:rPr>
          <w:rFonts w:ascii="Cambria" w:hAnsi="Cambria" w:cs="Tahoma"/>
          <w:b/>
          <w:i/>
        </w:rPr>
        <w:tab/>
      </w:r>
    </w:p>
    <w:p>
      <w:pPr>
        <w:tabs>
          <w:tab w:val="left" w:pos="0"/>
        </w:tabs>
        <w:spacing w:after="0" w:line="264" w:lineRule="auto"/>
        <w:jc w:val="both"/>
        <w:rPr>
          <w:rFonts w:ascii="Cambria" w:hAnsi="Cambria" w:cs="Tahoma"/>
        </w:rPr>
      </w:pPr>
      <w:r>
        <w:rPr>
          <w:rFonts w:ascii="Cambria" w:hAnsi="Cambria" w:cs="Tahoma"/>
        </w:rPr>
        <w:tab/>
      </w:r>
      <w:r>
        <w:rPr>
          <w:rFonts w:ascii="Cambria" w:hAnsi="Cambria" w:cs="Tahoma"/>
        </w:rPr>
        <w:t xml:space="preserve">Proses perencanaan Belanja Modal yang akan menjadi Aset Tetap serta Belanja Pemeliharaan pada DPA maupun DPA Perubahan APBD dimulai dari penyusunan usulan Rencana Kebutuhan Barang Milik Daerah (RKBMD) dan Rencana Kebutuhan Pemeliharaan Barang Milik Daerah (RKPBMD) di setiap SKPD yang disesuaikan dengan kebutuhan masing-masing SKPD yang diserahkan permohonannya kepada Biro Administrasi Pengadaan dan Pengelolaan Barang Milik Daerah Provinsi Sumatera Barat selaku Pembantu Pengelola Barang. </w:t>
      </w:r>
    </w:p>
    <w:p>
      <w:pPr>
        <w:tabs>
          <w:tab w:val="left" w:pos="0"/>
        </w:tabs>
        <w:spacing w:after="0" w:line="264" w:lineRule="auto"/>
        <w:jc w:val="both"/>
        <w:rPr>
          <w:rFonts w:ascii="Cambria" w:hAnsi="Cambria" w:cs="Tahoma"/>
        </w:rPr>
      </w:pPr>
      <w:r>
        <w:rPr>
          <w:rFonts w:ascii="Cambria" w:hAnsi="Cambria" w:cs="Tahoma"/>
        </w:rPr>
        <w:tab/>
      </w:r>
      <w:r>
        <w:rPr>
          <w:rFonts w:ascii="Cambria" w:hAnsi="Cambria" w:cs="Tahoma"/>
        </w:rPr>
        <w:t>Selanjutnya usulan tersebut akan diverifikasi bersama Tim yang beranggotakan Biro Administrasi Pengadaan dan Pengelolaan Barang Milik Daerah Provinsi Sumatera Barat, BAKEUDA Provinsi dan perwakilan Inspektorat Provinsi. Verifikasi dilaksanakan dengan memperhatikan jumlah Aset Tetap yang telah ada pada SKPD, jumlah Pegawai yang akan menggunakan serta kajian seberapa penting Belanja Modal yang diusulkan untuk diadakan pada SKPD tersebut. Jika memenuhi kajian-kajian diatas maka akan disetujui untuk dianggarkan. Dengan kata lain, Belanja Modal dan Belanja Pemeliharaan harus mendapatkan persetujuan dahulu dari Tim Verifikasi RKBMD dan RKPBMD sebagai perwakilan Pengelola Barang (dalam hal ini Sekretaris Daerah) sebelum dianggarkan kemudian direalisasikan SKPD.</w:t>
      </w:r>
    </w:p>
    <w:p>
      <w:pPr>
        <w:tabs>
          <w:tab w:val="left" w:pos="0"/>
        </w:tabs>
        <w:spacing w:after="0" w:line="264" w:lineRule="auto"/>
        <w:jc w:val="both"/>
        <w:rPr>
          <w:rFonts w:ascii="Cambria" w:hAnsi="Cambria" w:cs="Tahoma"/>
        </w:rPr>
      </w:pPr>
      <w:r>
        <w:rPr>
          <w:rFonts w:ascii="Cambria" w:hAnsi="Cambria" w:cs="Tahoma"/>
        </w:rPr>
        <w:tab/>
      </w:r>
      <w:r>
        <w:rPr>
          <w:rFonts w:ascii="Cambria" w:hAnsi="Cambria" w:cs="Tahoma"/>
        </w:rPr>
        <w:t xml:space="preserve">Oleh karena itu, untuk menjaga ketertiban administrasi penatausahaan Barang Milik Daerah (BMD), terget capaian indikator </w:t>
      </w:r>
      <w:r>
        <w:rPr>
          <w:rFonts w:ascii="Cambria" w:hAnsi="Cambria" w:cs="Tahoma"/>
          <w:b/>
          <w:i/>
        </w:rPr>
        <w:t xml:space="preserve">Kesesuaian Belanja Modal SKPD (APBD) dengan RKBMD dan RKPBMD </w:t>
      </w:r>
      <w:r>
        <w:rPr>
          <w:rFonts w:ascii="Cambria" w:hAnsi="Cambria" w:cs="Tahoma"/>
        </w:rPr>
        <w:t>ini harus selalu 100%. Artinya Belanja Modal yang direalisasikan SKPD harus sesuai dengan usulan RKBMD dan RKPBMD yang disetujui Tim. Selama 3 (tiga) tahun kebelakang</w:t>
      </w:r>
      <w:r>
        <w:rPr>
          <w:rFonts w:hint="default" w:ascii="Cambria" w:hAnsi="Cambria" w:cs="Tahoma"/>
        </w:rPr>
        <w:t xml:space="preserve"> 2013-2015</w:t>
      </w:r>
      <w:r>
        <w:rPr>
          <w:rFonts w:ascii="Cambria" w:hAnsi="Cambria" w:cs="Tahoma"/>
        </w:rPr>
        <w:t>, capaian capaian indikator ini selalu tercapai yang dapat menggambarkan sudah tertibnya administrasi perencanaan aset daerah. hal ini dapat digambarkan dengan grafik berikut ini :</w:t>
      </w:r>
    </w:p>
    <w:p>
      <w:pPr>
        <w:tabs>
          <w:tab w:val="left" w:pos="0"/>
        </w:tabs>
        <w:spacing w:after="0" w:line="240" w:lineRule="auto"/>
        <w:jc w:val="center"/>
        <w:rPr>
          <w:rFonts w:ascii="Cambria" w:hAnsi="Cambria" w:cs="Tahoma"/>
          <w:b/>
        </w:rPr>
      </w:pPr>
      <w:r>
        <w:rPr>
          <w:rFonts w:ascii="Cambria" w:hAnsi="Cambria" w:cs="Tahoma"/>
          <w:b/>
        </w:rPr>
        <w:t>Grafik 2.3</w:t>
      </w:r>
    </w:p>
    <w:p>
      <w:pPr>
        <w:tabs>
          <w:tab w:val="left" w:pos="0"/>
        </w:tabs>
        <w:spacing w:after="0" w:line="240" w:lineRule="auto"/>
        <w:jc w:val="center"/>
        <w:rPr>
          <w:rFonts w:ascii="Cambria" w:hAnsi="Cambria" w:cs="Tahoma"/>
          <w:b/>
        </w:rPr>
      </w:pPr>
      <w:r>
        <w:rPr>
          <w:rFonts w:ascii="Cambria" w:hAnsi="Cambria" w:cs="Tahoma"/>
          <w:b/>
        </w:rPr>
        <w:t xml:space="preserve">Indikator : Kesesuaian Belanja Modal SKPD (APBD) </w:t>
      </w:r>
    </w:p>
    <w:p>
      <w:pPr>
        <w:tabs>
          <w:tab w:val="left" w:pos="0"/>
        </w:tabs>
        <w:spacing w:after="0" w:line="240" w:lineRule="auto"/>
        <w:jc w:val="center"/>
        <w:rPr>
          <w:rFonts w:ascii="Cambria" w:hAnsi="Cambria" w:cs="Tahoma"/>
          <w:b/>
        </w:rPr>
      </w:pPr>
      <w:r>
        <w:rPr>
          <w:rFonts w:ascii="Cambria" w:hAnsi="Cambria" w:cs="Tahoma"/>
          <w:b/>
        </w:rPr>
        <w:t>Dengan RKBMD dan RKPBMD</w:t>
      </w:r>
    </w:p>
    <w:p>
      <w:pPr>
        <w:tabs>
          <w:tab w:val="left" w:pos="0"/>
        </w:tabs>
        <w:spacing w:after="0" w:line="240" w:lineRule="auto"/>
        <w:jc w:val="center"/>
        <w:rPr>
          <w:rFonts w:ascii="Cambria" w:hAnsi="Cambria" w:cs="Tahoma"/>
          <w:b/>
        </w:rPr>
      </w:pPr>
    </w:p>
    <w:p>
      <w:pPr>
        <w:tabs>
          <w:tab w:val="left" w:pos="0"/>
        </w:tabs>
        <w:spacing w:after="0" w:line="240" w:lineRule="auto"/>
        <w:jc w:val="center"/>
        <w:rPr>
          <w:rFonts w:cs="Tahoma"/>
          <w:sz w:val="24"/>
          <w:lang w:eastAsia="id-ID"/>
        </w:rPr>
      </w:pPr>
      <w:r>
        <w:rPr>
          <w:rFonts w:cs="Tahoma"/>
          <w:sz w:val="24"/>
          <w:lang w:eastAsia="id-ID"/>
        </w:rPr>
        <w:drawing>
          <wp:inline distT="0" distB="0" distL="0" distR="0">
            <wp:extent cx="2974340" cy="1376045"/>
            <wp:effectExtent l="4445" t="4445" r="5715" b="16510"/>
            <wp:docPr id="26" name="Chart 26"/>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pPr>
        <w:tabs>
          <w:tab w:val="left" w:pos="0"/>
        </w:tabs>
        <w:spacing w:after="0" w:line="240" w:lineRule="auto"/>
        <w:jc w:val="center"/>
        <w:rPr>
          <w:rFonts w:cs="Tahoma"/>
          <w:sz w:val="24"/>
          <w:lang w:eastAsia="id-ID"/>
        </w:rPr>
      </w:pPr>
    </w:p>
    <w:p>
      <w:pPr>
        <w:tabs>
          <w:tab w:val="left" w:pos="720"/>
        </w:tabs>
        <w:spacing w:after="120" w:line="276" w:lineRule="auto"/>
        <w:ind w:left="720" w:hanging="720"/>
        <w:jc w:val="both"/>
        <w:rPr>
          <w:rFonts w:ascii="Cambria" w:hAnsi="Cambria" w:cs="Tahoma"/>
          <w:b/>
          <w:i/>
        </w:rPr>
      </w:pPr>
      <w:r>
        <w:rPr>
          <w:rFonts w:ascii="Cambria" w:hAnsi="Cambria" w:cs="Tahoma"/>
          <w:b/>
          <w:i/>
        </w:rPr>
        <w:t>2.3.2</w:t>
      </w:r>
      <w:r>
        <w:rPr>
          <w:rFonts w:ascii="Cambria" w:hAnsi="Cambria" w:cs="Tahoma"/>
          <w:b/>
          <w:i/>
        </w:rPr>
        <w:tab/>
      </w:r>
      <w:r>
        <w:rPr>
          <w:rFonts w:ascii="Cambria" w:hAnsi="Cambria" w:cs="Tahoma"/>
          <w:b/>
          <w:i/>
        </w:rPr>
        <w:t>Indikator Kesesuaian Totalitas Data Aset SKPD dengan Data Aset Daerah</w:t>
      </w:r>
      <w:r>
        <w:rPr>
          <w:rFonts w:ascii="Cambria" w:hAnsi="Cambria" w:cs="Tahoma"/>
          <w:b/>
          <w:i/>
        </w:rPr>
        <w:tab/>
      </w:r>
    </w:p>
    <w:p>
      <w:pPr>
        <w:tabs>
          <w:tab w:val="left" w:pos="0"/>
        </w:tabs>
        <w:spacing w:line="276" w:lineRule="auto"/>
        <w:jc w:val="both"/>
        <w:rPr>
          <w:rFonts w:ascii="Cambria" w:hAnsi="Cambria" w:cs="Tahoma"/>
        </w:rPr>
      </w:pPr>
      <w:r>
        <w:rPr>
          <w:rFonts w:ascii="Cambria" w:hAnsi="Cambria" w:cs="Tahoma"/>
        </w:rPr>
        <w:tab/>
      </w:r>
      <w:r>
        <w:rPr>
          <w:rFonts w:ascii="Cambria" w:hAnsi="Cambria" w:cs="Tahoma"/>
        </w:rPr>
        <w:t>Nilai Neraca Aset dihasilkan dari nilai Aset Tetap dan Aset Lainnya seluruh SKPD yang telah divalidasi melalui tahapan Rekonsiliasi nilai Aset. Rekonsiliasi aset bertujuan untuk mengetahui nilai akhir Aset SKPD dengan berdasarkan kepada saldo akhir aset tahun sebelumnya ditambah dengan Mutasi Tambah aset yang antara lain berasal dari Belanja Modal pada tahun berjalan, mutasi aset dari SKPD lain, hibah aset dari pihak ketiga, koreksi tambah nilai aset dan lain sebagainya. Kemudian dikurangi dengan Mutasi Kurang aset yang antara lain berasal dari mutasi aset ke SKPD lain, penghapusan aset karena sudah tidak bermanfaat, koreksi kurang nilai aset, Belanja Modal yang harga perolehannya dibawah standar kapitalisasi aset (ditetapkan dengan Peraturan Gubernur) dan lain sebagainya. Dari mutasi tambah dan kurang tersebut barulah dihasilkan saldo akhir aset per masing-masing SKPD.</w:t>
      </w:r>
    </w:p>
    <w:p>
      <w:pPr>
        <w:tabs>
          <w:tab w:val="left" w:pos="0"/>
        </w:tabs>
        <w:spacing w:line="276" w:lineRule="auto"/>
        <w:jc w:val="both"/>
        <w:rPr>
          <w:rFonts w:ascii="Cambria" w:hAnsi="Cambria" w:cs="Tahoma"/>
        </w:rPr>
      </w:pPr>
      <w:r>
        <w:rPr>
          <w:rFonts w:ascii="Cambria" w:hAnsi="Cambria" w:cs="Tahoma"/>
        </w:rPr>
        <w:tab/>
      </w:r>
      <w:r>
        <w:rPr>
          <w:rFonts w:ascii="Cambria" w:hAnsi="Cambria" w:cs="Tahoma"/>
        </w:rPr>
        <w:t xml:space="preserve">Saldo akhir setiap SKPD akan tercatat pada Biro Administrasi Pengadaan dan Pengelolaan Barang Milik Daerah yang kemudian direkapitulasi sehingga menghasilkan nilai Neraca Aset yang siap disajikan dalam LKPD Provinsi. Adapun Rekapitulasi Aset Prov. Sumatera Barat selama </w:t>
      </w:r>
      <w:r>
        <w:rPr>
          <w:rFonts w:hint="default" w:ascii="Cambria" w:hAnsi="Cambria" w:cs="Tahoma"/>
          <w:lang/>
        </w:rPr>
        <w:t>5</w:t>
      </w:r>
      <w:bookmarkStart w:id="1" w:name="_GoBack"/>
      <w:bookmarkEnd w:id="1"/>
      <w:r>
        <w:rPr>
          <w:rFonts w:ascii="Cambria" w:hAnsi="Cambria" w:cs="Tahoma"/>
        </w:rPr>
        <w:t xml:space="preserve"> tahun kebelakang dapat dilihat pada tabel berikut :</w:t>
      </w:r>
    </w:p>
    <w:p>
      <w:pPr>
        <w:tabs>
          <w:tab w:val="left" w:pos="0"/>
        </w:tabs>
        <w:spacing w:after="0" w:line="240" w:lineRule="auto"/>
        <w:jc w:val="center"/>
        <w:rPr>
          <w:rFonts w:ascii="Cambria" w:hAnsi="Cambria" w:cs="Tahoma"/>
          <w:b/>
        </w:rPr>
      </w:pPr>
      <w:r>
        <w:rPr>
          <w:rFonts w:ascii="Cambria" w:hAnsi="Cambria" w:cs="Tahoma"/>
          <w:b/>
        </w:rPr>
        <w:t>Tabel 2.6</w:t>
      </w:r>
    </w:p>
    <w:p>
      <w:pPr>
        <w:tabs>
          <w:tab w:val="left" w:pos="0"/>
        </w:tabs>
        <w:spacing w:after="0" w:line="240" w:lineRule="auto"/>
        <w:jc w:val="center"/>
        <w:rPr>
          <w:rFonts w:ascii="Cambria" w:hAnsi="Cambria" w:cs="Tahoma"/>
          <w:b/>
        </w:rPr>
      </w:pPr>
      <w:r>
        <w:rPr>
          <w:rFonts w:ascii="Cambria" w:hAnsi="Cambria" w:cs="Tahoma"/>
          <w:b/>
        </w:rPr>
        <w:t>Rekapitulasi Aset Pemerintah Provinsi Sumatera Barat</w:t>
      </w:r>
    </w:p>
    <w:p>
      <w:pPr>
        <w:tabs>
          <w:tab w:val="left" w:pos="0"/>
        </w:tabs>
        <w:spacing w:after="0" w:line="240" w:lineRule="auto"/>
        <w:jc w:val="center"/>
        <w:rPr>
          <w:rFonts w:ascii="Cambria" w:hAnsi="Cambria" w:cs="Tahoma"/>
          <w:b/>
        </w:rPr>
      </w:pPr>
      <w:r>
        <w:rPr>
          <w:rFonts w:ascii="Cambria" w:hAnsi="Cambria" w:cs="Tahoma"/>
          <w:b/>
        </w:rPr>
        <w:t xml:space="preserve"> Tahun 201</w:t>
      </w:r>
      <w:r>
        <w:rPr>
          <w:rFonts w:hint="default" w:ascii="Cambria" w:hAnsi="Cambria" w:cs="Tahoma"/>
          <w:b/>
          <w:lang/>
        </w:rPr>
        <w:t>4</w:t>
      </w:r>
      <w:r>
        <w:rPr>
          <w:rFonts w:ascii="Cambria" w:hAnsi="Cambria" w:cs="Tahoma"/>
          <w:b/>
        </w:rPr>
        <w:t xml:space="preserve"> – 201</w:t>
      </w:r>
      <w:r>
        <w:rPr>
          <w:rFonts w:hint="default" w:ascii="Cambria" w:hAnsi="Cambria" w:cs="Tahoma"/>
          <w:b/>
          <w:lang/>
        </w:rPr>
        <w:t>8</w:t>
      </w:r>
      <w:r>
        <w:rPr>
          <w:rFonts w:ascii="Cambria" w:hAnsi="Cambria" w:cs="Tahoma"/>
          <w:b/>
        </w:rPr>
        <w:t xml:space="preserve"> (Auditted)</w:t>
      </w:r>
    </w:p>
    <w:p>
      <w:pPr>
        <w:tabs>
          <w:tab w:val="left" w:pos="0"/>
        </w:tabs>
        <w:spacing w:after="0" w:line="240" w:lineRule="auto"/>
        <w:jc w:val="center"/>
        <w:rPr>
          <w:rFonts w:ascii="Cambria" w:hAnsi="Cambria" w:cs="Tahoma"/>
          <w:b/>
        </w:rPr>
      </w:pPr>
    </w:p>
    <w:tbl>
      <w:tblPr>
        <w:tblStyle w:val="8"/>
        <w:tblW w:w="10065" w:type="dxa"/>
        <w:tblInd w:w="-714"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423"/>
        <w:gridCol w:w="1926"/>
        <w:gridCol w:w="1557"/>
        <w:gridCol w:w="1523"/>
        <w:gridCol w:w="1523"/>
        <w:gridCol w:w="1554"/>
        <w:gridCol w:w="1559"/>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423" w:type="dxa"/>
          </w:tcPr>
          <w:p>
            <w:pPr>
              <w:tabs>
                <w:tab w:val="left" w:pos="0"/>
              </w:tabs>
              <w:spacing w:before="60" w:after="60" w:line="240" w:lineRule="auto"/>
              <w:jc w:val="center"/>
              <w:rPr>
                <w:rFonts w:ascii="Cambria" w:hAnsi="Cambria" w:cs="Tahoma"/>
                <w:sz w:val="14"/>
                <w:szCs w:val="14"/>
              </w:rPr>
            </w:pPr>
            <w:r>
              <w:rPr>
                <w:rFonts w:ascii="Cambria" w:hAnsi="Cambria" w:cs="Tahoma"/>
                <w:sz w:val="14"/>
                <w:szCs w:val="14"/>
              </w:rPr>
              <w:t>No</w:t>
            </w:r>
          </w:p>
        </w:tc>
        <w:tc>
          <w:tcPr>
            <w:tcW w:w="1926" w:type="dxa"/>
          </w:tcPr>
          <w:p>
            <w:pPr>
              <w:tabs>
                <w:tab w:val="left" w:pos="0"/>
              </w:tabs>
              <w:spacing w:before="60" w:after="60" w:line="240" w:lineRule="auto"/>
              <w:jc w:val="center"/>
              <w:rPr>
                <w:rFonts w:ascii="Cambria" w:hAnsi="Cambria" w:cs="Tahoma"/>
                <w:sz w:val="14"/>
                <w:szCs w:val="14"/>
              </w:rPr>
            </w:pPr>
            <w:r>
              <w:rPr>
                <w:rFonts w:ascii="Cambria" w:hAnsi="Cambria" w:cs="Tahoma"/>
                <w:sz w:val="14"/>
                <w:szCs w:val="14"/>
              </w:rPr>
              <w:t>Uraian</w:t>
            </w:r>
          </w:p>
        </w:tc>
        <w:tc>
          <w:tcPr>
            <w:tcW w:w="1557" w:type="dxa"/>
            <w:vAlign w:val="top"/>
          </w:tcPr>
          <w:p>
            <w:pPr>
              <w:tabs>
                <w:tab w:val="left" w:pos="0"/>
              </w:tabs>
              <w:spacing w:before="60" w:after="60" w:line="240" w:lineRule="auto"/>
              <w:jc w:val="center"/>
              <w:rPr>
                <w:rFonts w:hint="default" w:ascii="Cambria" w:hAnsi="Cambria" w:cs="Tahoma"/>
                <w:sz w:val="14"/>
                <w:szCs w:val="14"/>
              </w:rPr>
            </w:pPr>
            <w:r>
              <w:rPr>
                <w:rFonts w:ascii="Cambria" w:hAnsi="Cambria" w:cs="Tahoma"/>
                <w:sz w:val="14"/>
                <w:szCs w:val="14"/>
              </w:rPr>
              <w:t>2014</w:t>
            </w:r>
          </w:p>
        </w:tc>
        <w:tc>
          <w:tcPr>
            <w:tcW w:w="1523" w:type="dxa"/>
            <w:vAlign w:val="top"/>
          </w:tcPr>
          <w:p>
            <w:pPr>
              <w:tabs>
                <w:tab w:val="left" w:pos="0"/>
              </w:tabs>
              <w:spacing w:before="60" w:after="60" w:line="240" w:lineRule="auto"/>
              <w:jc w:val="center"/>
              <w:rPr>
                <w:rFonts w:hint="default" w:ascii="Cambria" w:hAnsi="Cambria" w:cs="Tahoma"/>
                <w:sz w:val="14"/>
                <w:szCs w:val="14"/>
              </w:rPr>
            </w:pPr>
            <w:r>
              <w:rPr>
                <w:rFonts w:ascii="Cambria" w:hAnsi="Cambria" w:cs="Tahoma"/>
                <w:sz w:val="14"/>
                <w:szCs w:val="14"/>
              </w:rPr>
              <w:t>2015</w:t>
            </w:r>
          </w:p>
        </w:tc>
        <w:tc>
          <w:tcPr>
            <w:tcW w:w="1523" w:type="dxa"/>
            <w:vAlign w:val="top"/>
          </w:tcPr>
          <w:p>
            <w:pPr>
              <w:tabs>
                <w:tab w:val="left" w:pos="0"/>
              </w:tabs>
              <w:spacing w:before="60" w:after="60" w:line="240" w:lineRule="auto"/>
              <w:jc w:val="center"/>
              <w:rPr>
                <w:rFonts w:ascii="Cambria" w:hAnsi="Cambria" w:cs="Tahoma"/>
                <w:sz w:val="14"/>
                <w:szCs w:val="14"/>
              </w:rPr>
            </w:pPr>
            <w:r>
              <w:rPr>
                <w:rFonts w:ascii="Cambria" w:hAnsi="Cambria" w:cs="Tahoma"/>
                <w:sz w:val="14"/>
                <w:szCs w:val="14"/>
              </w:rPr>
              <w:t>2016</w:t>
            </w:r>
          </w:p>
        </w:tc>
        <w:tc>
          <w:tcPr>
            <w:tcW w:w="1554" w:type="dxa"/>
          </w:tcPr>
          <w:p>
            <w:pPr>
              <w:tabs>
                <w:tab w:val="left" w:pos="0"/>
              </w:tabs>
              <w:spacing w:before="60" w:after="60" w:line="240" w:lineRule="auto"/>
              <w:jc w:val="center"/>
              <w:rPr>
                <w:rFonts w:hint="default" w:ascii="Cambria" w:hAnsi="Cambria" w:cs="Tahoma"/>
                <w:sz w:val="14"/>
                <w:szCs w:val="14"/>
              </w:rPr>
            </w:pPr>
            <w:r>
              <w:rPr>
                <w:rFonts w:hint="default" w:ascii="Cambria" w:hAnsi="Cambria" w:cs="Tahoma"/>
                <w:sz w:val="14"/>
                <w:szCs w:val="14"/>
              </w:rPr>
              <w:t>2017</w:t>
            </w:r>
          </w:p>
        </w:tc>
        <w:tc>
          <w:tcPr>
            <w:tcW w:w="1559" w:type="dxa"/>
          </w:tcPr>
          <w:p>
            <w:pPr>
              <w:tabs>
                <w:tab w:val="left" w:pos="0"/>
              </w:tabs>
              <w:spacing w:before="60" w:after="60" w:line="240" w:lineRule="auto"/>
              <w:jc w:val="center"/>
              <w:rPr>
                <w:rFonts w:hint="default" w:ascii="Cambria" w:hAnsi="Cambria" w:cs="Tahoma"/>
                <w:sz w:val="14"/>
                <w:szCs w:val="14"/>
              </w:rPr>
            </w:pPr>
            <w:r>
              <w:rPr>
                <w:rFonts w:ascii="Cambria" w:hAnsi="Cambria" w:cs="Tahoma"/>
                <w:sz w:val="14"/>
                <w:szCs w:val="14"/>
              </w:rPr>
              <w:t>201</w:t>
            </w:r>
            <w:r>
              <w:rPr>
                <w:rFonts w:hint="default" w:ascii="Cambria" w:hAnsi="Cambria" w:cs="Tahoma"/>
                <w:sz w:val="14"/>
                <w:szCs w:val="14"/>
              </w:rPr>
              <w:t>8</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423" w:type="dxa"/>
          </w:tcPr>
          <w:p>
            <w:pPr>
              <w:tabs>
                <w:tab w:val="left" w:pos="0"/>
              </w:tabs>
              <w:spacing w:before="60" w:after="60" w:line="240" w:lineRule="auto"/>
              <w:jc w:val="center"/>
              <w:rPr>
                <w:rFonts w:ascii="Cambria" w:hAnsi="Cambria" w:cs="Tahoma"/>
                <w:sz w:val="14"/>
                <w:szCs w:val="14"/>
              </w:rPr>
            </w:pPr>
          </w:p>
        </w:tc>
        <w:tc>
          <w:tcPr>
            <w:tcW w:w="1926" w:type="dxa"/>
          </w:tcPr>
          <w:p>
            <w:pPr>
              <w:tabs>
                <w:tab w:val="left" w:pos="0"/>
              </w:tabs>
              <w:spacing w:before="60" w:after="60" w:line="240" w:lineRule="auto"/>
              <w:jc w:val="left"/>
              <w:rPr>
                <w:rFonts w:ascii="Cambria" w:hAnsi="Cambria" w:cs="Tahoma"/>
                <w:sz w:val="14"/>
                <w:szCs w:val="14"/>
              </w:rPr>
            </w:pPr>
            <w:r>
              <w:rPr>
                <w:rFonts w:ascii="Cambria" w:hAnsi="Cambria" w:cs="Tahoma"/>
                <w:sz w:val="14"/>
                <w:szCs w:val="14"/>
              </w:rPr>
              <w:t>Aset Tetap</w:t>
            </w:r>
          </w:p>
        </w:tc>
        <w:tc>
          <w:tcPr>
            <w:tcW w:w="1557" w:type="dxa"/>
            <w:vAlign w:val="top"/>
          </w:tcPr>
          <w:p>
            <w:pPr>
              <w:tabs>
                <w:tab w:val="left" w:pos="0"/>
              </w:tabs>
              <w:spacing w:before="60" w:after="60" w:line="240" w:lineRule="auto"/>
              <w:jc w:val="center"/>
              <w:rPr>
                <w:rFonts w:ascii="Cambria" w:hAnsi="Cambria" w:cs="Tahoma"/>
                <w:sz w:val="14"/>
                <w:szCs w:val="14"/>
              </w:rPr>
            </w:pPr>
          </w:p>
        </w:tc>
        <w:tc>
          <w:tcPr>
            <w:tcW w:w="1523" w:type="dxa"/>
            <w:vAlign w:val="top"/>
          </w:tcPr>
          <w:p>
            <w:pPr>
              <w:tabs>
                <w:tab w:val="left" w:pos="0"/>
              </w:tabs>
              <w:spacing w:before="60" w:after="60" w:line="240" w:lineRule="auto"/>
              <w:jc w:val="center"/>
              <w:rPr>
                <w:rFonts w:ascii="Cambria" w:hAnsi="Cambria" w:cs="Tahoma"/>
                <w:sz w:val="14"/>
                <w:szCs w:val="14"/>
              </w:rPr>
            </w:pPr>
          </w:p>
        </w:tc>
        <w:tc>
          <w:tcPr>
            <w:tcW w:w="1523" w:type="dxa"/>
            <w:vAlign w:val="top"/>
          </w:tcPr>
          <w:p>
            <w:pPr>
              <w:tabs>
                <w:tab w:val="left" w:pos="0"/>
              </w:tabs>
              <w:spacing w:before="60" w:after="60" w:line="240" w:lineRule="auto"/>
              <w:jc w:val="center"/>
              <w:rPr>
                <w:rFonts w:ascii="Cambria" w:hAnsi="Cambria" w:cs="Tahoma"/>
                <w:sz w:val="14"/>
                <w:szCs w:val="14"/>
              </w:rPr>
            </w:pPr>
          </w:p>
        </w:tc>
        <w:tc>
          <w:tcPr>
            <w:tcW w:w="1554" w:type="dxa"/>
          </w:tcPr>
          <w:p>
            <w:pPr>
              <w:tabs>
                <w:tab w:val="left" w:pos="0"/>
              </w:tabs>
              <w:spacing w:before="60" w:after="60" w:line="240" w:lineRule="auto"/>
              <w:jc w:val="center"/>
              <w:rPr>
                <w:rFonts w:ascii="Cambria" w:hAnsi="Cambria" w:cs="Tahoma"/>
                <w:sz w:val="14"/>
                <w:szCs w:val="14"/>
              </w:rPr>
            </w:pPr>
          </w:p>
        </w:tc>
        <w:tc>
          <w:tcPr>
            <w:tcW w:w="1559" w:type="dxa"/>
          </w:tcPr>
          <w:p>
            <w:pPr>
              <w:tabs>
                <w:tab w:val="left" w:pos="0"/>
              </w:tabs>
              <w:spacing w:before="60" w:after="60" w:line="240" w:lineRule="auto"/>
              <w:jc w:val="center"/>
              <w:rPr>
                <w:rFonts w:ascii="Cambria" w:hAnsi="Cambria" w:cs="Tahoma"/>
                <w:sz w:val="14"/>
                <w:szCs w:val="1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423" w:type="dxa"/>
          </w:tcPr>
          <w:p>
            <w:pPr>
              <w:tabs>
                <w:tab w:val="left" w:pos="0"/>
              </w:tabs>
              <w:spacing w:before="60" w:after="60" w:line="240" w:lineRule="auto"/>
              <w:jc w:val="center"/>
              <w:rPr>
                <w:rFonts w:ascii="Cambria" w:hAnsi="Cambria" w:cs="Tahoma"/>
                <w:sz w:val="14"/>
                <w:szCs w:val="14"/>
              </w:rPr>
            </w:pPr>
            <w:r>
              <w:rPr>
                <w:rFonts w:ascii="Cambria" w:hAnsi="Cambria" w:cs="Tahoma"/>
                <w:sz w:val="14"/>
                <w:szCs w:val="14"/>
              </w:rPr>
              <w:t>1</w:t>
            </w:r>
          </w:p>
        </w:tc>
        <w:tc>
          <w:tcPr>
            <w:tcW w:w="1926" w:type="dxa"/>
          </w:tcPr>
          <w:p>
            <w:pPr>
              <w:tabs>
                <w:tab w:val="left" w:pos="0"/>
              </w:tabs>
              <w:spacing w:before="60" w:after="60" w:line="240" w:lineRule="auto"/>
              <w:jc w:val="left"/>
              <w:rPr>
                <w:rFonts w:ascii="Cambria" w:hAnsi="Cambria" w:cs="Tahoma"/>
                <w:sz w:val="14"/>
                <w:szCs w:val="14"/>
              </w:rPr>
            </w:pPr>
            <w:r>
              <w:rPr>
                <w:rFonts w:ascii="Cambria" w:hAnsi="Cambria" w:cs="Tahoma"/>
                <w:sz w:val="14"/>
                <w:szCs w:val="14"/>
              </w:rPr>
              <w:t>Tanah</w:t>
            </w:r>
          </w:p>
        </w:tc>
        <w:tc>
          <w:tcPr>
            <w:tcW w:w="1557" w:type="dxa"/>
            <w:vAlign w:val="top"/>
          </w:tcPr>
          <w:p>
            <w:pPr>
              <w:tabs>
                <w:tab w:val="left" w:pos="0"/>
              </w:tabs>
              <w:spacing w:before="60" w:after="60" w:line="240" w:lineRule="auto"/>
              <w:jc w:val="right"/>
              <w:rPr>
                <w:rFonts w:hint="default" w:ascii="Cambria" w:hAnsi="Cambria" w:cs="Cambria"/>
                <w:color w:val="000000" w:themeColor="text1"/>
                <w:sz w:val="14"/>
                <w:szCs w:val="14"/>
                <w14:textFill>
                  <w14:solidFill>
                    <w14:schemeClr w14:val="tx1"/>
                  </w14:solidFill>
                </w14:textFill>
              </w:rPr>
            </w:pPr>
            <w:r>
              <w:rPr>
                <w:rFonts w:ascii="Cambria" w:hAnsi="Cambria" w:cs="Tahoma"/>
                <w:sz w:val="14"/>
                <w:szCs w:val="14"/>
              </w:rPr>
              <w:t>1.648.215.780.888,00</w:t>
            </w:r>
          </w:p>
        </w:tc>
        <w:tc>
          <w:tcPr>
            <w:tcW w:w="1523" w:type="dxa"/>
            <w:vAlign w:val="top"/>
          </w:tcPr>
          <w:p>
            <w:pPr>
              <w:tabs>
                <w:tab w:val="left" w:pos="0"/>
              </w:tabs>
              <w:spacing w:before="60" w:after="60" w:line="240" w:lineRule="auto"/>
              <w:jc w:val="right"/>
              <w:rPr>
                <w:rFonts w:ascii="Cambria" w:hAnsi="Cambria" w:cs="Tahoma"/>
                <w:sz w:val="14"/>
                <w:szCs w:val="14"/>
              </w:rPr>
            </w:pPr>
            <w:r>
              <w:rPr>
                <w:rFonts w:ascii="Cambria" w:hAnsi="Cambria" w:cs="Tahoma"/>
                <w:sz w:val="14"/>
                <w:szCs w:val="14"/>
              </w:rPr>
              <w:t>1.728.746.559.793,88</w:t>
            </w:r>
          </w:p>
        </w:tc>
        <w:tc>
          <w:tcPr>
            <w:tcW w:w="1523" w:type="dxa"/>
            <w:vAlign w:val="top"/>
          </w:tcPr>
          <w:p>
            <w:pPr>
              <w:tabs>
                <w:tab w:val="left" w:pos="0"/>
              </w:tabs>
              <w:spacing w:before="60" w:after="60" w:line="240" w:lineRule="auto"/>
              <w:jc w:val="right"/>
              <w:rPr>
                <w:rFonts w:ascii="Cambria" w:hAnsi="Cambria" w:cs="Tahoma"/>
                <w:sz w:val="14"/>
                <w:szCs w:val="14"/>
              </w:rPr>
            </w:pPr>
            <w:r>
              <w:rPr>
                <w:rFonts w:ascii="Cambria" w:hAnsi="Cambria" w:cs="Tahoma"/>
                <w:sz w:val="14"/>
                <w:szCs w:val="14"/>
              </w:rPr>
              <w:t>1.607.559.865.679,88</w:t>
            </w:r>
          </w:p>
        </w:tc>
        <w:tc>
          <w:tcPr>
            <w:tcW w:w="1554" w:type="dxa"/>
          </w:tcPr>
          <w:p>
            <w:pPr>
              <w:tabs>
                <w:tab w:val="left" w:pos="0"/>
              </w:tabs>
              <w:spacing w:before="60" w:after="60" w:line="240" w:lineRule="auto"/>
              <w:jc w:val="right"/>
              <w:rPr>
                <w:rFonts w:hint="default" w:ascii="Cambria" w:hAnsi="Cambria" w:cs="Tahoma"/>
                <w:sz w:val="14"/>
                <w:szCs w:val="14"/>
              </w:rPr>
            </w:pPr>
            <w:r>
              <w:rPr>
                <w:rFonts w:hint="default" w:ascii="Cambria" w:hAnsi="Cambria" w:cs="Tahoma"/>
                <w:sz w:val="14"/>
                <w:szCs w:val="14"/>
              </w:rPr>
              <w:t>1.610.825.232.204,49</w:t>
            </w:r>
          </w:p>
        </w:tc>
        <w:tc>
          <w:tcPr>
            <w:tcW w:w="1559" w:type="dxa"/>
          </w:tcPr>
          <w:p>
            <w:pPr>
              <w:tabs>
                <w:tab w:val="left" w:pos="0"/>
              </w:tabs>
              <w:spacing w:before="60" w:after="60" w:line="240" w:lineRule="auto"/>
              <w:jc w:val="right"/>
              <w:rPr>
                <w:rFonts w:hint="default" w:ascii="Cambria" w:hAnsi="Cambria" w:cs="Tahoma"/>
                <w:sz w:val="14"/>
                <w:szCs w:val="14"/>
              </w:rPr>
            </w:pPr>
            <w:r>
              <w:rPr>
                <w:rFonts w:hint="default" w:ascii="Cambria" w:hAnsi="Cambria" w:cs="Tahoma"/>
                <w:sz w:val="14"/>
                <w:szCs w:val="14"/>
              </w:rPr>
              <w:t>2.103.530.076.895,95</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423" w:type="dxa"/>
          </w:tcPr>
          <w:p>
            <w:pPr>
              <w:tabs>
                <w:tab w:val="left" w:pos="0"/>
              </w:tabs>
              <w:spacing w:before="60" w:after="60" w:line="240" w:lineRule="auto"/>
              <w:jc w:val="center"/>
              <w:rPr>
                <w:rFonts w:ascii="Cambria" w:hAnsi="Cambria" w:cs="Tahoma"/>
                <w:sz w:val="14"/>
                <w:szCs w:val="14"/>
              </w:rPr>
            </w:pPr>
            <w:r>
              <w:rPr>
                <w:rFonts w:ascii="Cambria" w:hAnsi="Cambria" w:cs="Tahoma"/>
                <w:sz w:val="14"/>
                <w:szCs w:val="14"/>
              </w:rPr>
              <w:t>2</w:t>
            </w:r>
          </w:p>
        </w:tc>
        <w:tc>
          <w:tcPr>
            <w:tcW w:w="1926" w:type="dxa"/>
          </w:tcPr>
          <w:p>
            <w:pPr>
              <w:tabs>
                <w:tab w:val="left" w:pos="0"/>
              </w:tabs>
              <w:spacing w:before="60" w:after="60" w:line="240" w:lineRule="auto"/>
              <w:jc w:val="left"/>
              <w:rPr>
                <w:rFonts w:ascii="Cambria" w:hAnsi="Cambria" w:cs="Tahoma"/>
                <w:sz w:val="14"/>
                <w:szCs w:val="14"/>
              </w:rPr>
            </w:pPr>
            <w:r>
              <w:rPr>
                <w:rFonts w:ascii="Cambria" w:hAnsi="Cambria" w:cs="Tahoma"/>
                <w:sz w:val="14"/>
                <w:szCs w:val="14"/>
              </w:rPr>
              <w:t>Peralatan dan Mesin</w:t>
            </w:r>
          </w:p>
        </w:tc>
        <w:tc>
          <w:tcPr>
            <w:tcW w:w="1557" w:type="dxa"/>
            <w:vAlign w:val="top"/>
          </w:tcPr>
          <w:p>
            <w:pPr>
              <w:tabs>
                <w:tab w:val="left" w:pos="0"/>
              </w:tabs>
              <w:spacing w:before="60" w:after="60" w:line="240" w:lineRule="auto"/>
              <w:jc w:val="right"/>
              <w:rPr>
                <w:rFonts w:hint="default" w:ascii="Cambria" w:hAnsi="Cambria" w:cs="Cambria"/>
                <w:color w:val="000000" w:themeColor="text1"/>
                <w:sz w:val="14"/>
                <w:szCs w:val="14"/>
                <w14:textFill>
                  <w14:solidFill>
                    <w14:schemeClr w14:val="tx1"/>
                  </w14:solidFill>
                </w14:textFill>
              </w:rPr>
            </w:pPr>
            <w:r>
              <w:rPr>
                <w:rFonts w:ascii="Cambria" w:hAnsi="Cambria" w:cs="Tahoma"/>
                <w:sz w:val="14"/>
                <w:szCs w:val="14"/>
              </w:rPr>
              <w:t>486.312.677.526,32</w:t>
            </w:r>
          </w:p>
        </w:tc>
        <w:tc>
          <w:tcPr>
            <w:tcW w:w="1523" w:type="dxa"/>
            <w:vAlign w:val="top"/>
          </w:tcPr>
          <w:p>
            <w:pPr>
              <w:tabs>
                <w:tab w:val="left" w:pos="0"/>
              </w:tabs>
              <w:spacing w:before="60" w:after="60" w:line="240" w:lineRule="auto"/>
              <w:jc w:val="right"/>
              <w:rPr>
                <w:rFonts w:ascii="Cambria" w:hAnsi="Cambria" w:cs="Tahoma"/>
                <w:sz w:val="14"/>
                <w:szCs w:val="14"/>
              </w:rPr>
            </w:pPr>
            <w:r>
              <w:rPr>
                <w:rFonts w:ascii="Cambria" w:hAnsi="Cambria" w:cs="Tahoma"/>
                <w:sz w:val="14"/>
                <w:szCs w:val="14"/>
              </w:rPr>
              <w:t>598.110.208.222,19</w:t>
            </w:r>
          </w:p>
        </w:tc>
        <w:tc>
          <w:tcPr>
            <w:tcW w:w="1523" w:type="dxa"/>
            <w:vAlign w:val="top"/>
          </w:tcPr>
          <w:p>
            <w:pPr>
              <w:tabs>
                <w:tab w:val="left" w:pos="0"/>
              </w:tabs>
              <w:spacing w:before="60" w:after="60" w:line="240" w:lineRule="auto"/>
              <w:jc w:val="right"/>
              <w:rPr>
                <w:rFonts w:ascii="Cambria" w:hAnsi="Cambria" w:cs="Tahoma"/>
                <w:sz w:val="14"/>
                <w:szCs w:val="14"/>
              </w:rPr>
            </w:pPr>
            <w:r>
              <w:rPr>
                <w:rFonts w:ascii="Cambria" w:hAnsi="Cambria" w:cs="Tahoma"/>
                <w:sz w:val="14"/>
                <w:szCs w:val="14"/>
              </w:rPr>
              <w:t>723.749.300.480,19</w:t>
            </w:r>
          </w:p>
        </w:tc>
        <w:tc>
          <w:tcPr>
            <w:tcW w:w="1554" w:type="dxa"/>
          </w:tcPr>
          <w:p>
            <w:pPr>
              <w:tabs>
                <w:tab w:val="left" w:pos="0"/>
              </w:tabs>
              <w:spacing w:before="60" w:after="60" w:line="240" w:lineRule="auto"/>
              <w:jc w:val="right"/>
              <w:rPr>
                <w:rFonts w:hint="default" w:ascii="Cambria" w:hAnsi="Cambria" w:cs="Tahoma"/>
                <w:sz w:val="14"/>
                <w:szCs w:val="14"/>
              </w:rPr>
            </w:pPr>
            <w:r>
              <w:rPr>
                <w:rFonts w:hint="default" w:ascii="Cambria" w:hAnsi="Cambria" w:cs="Tahoma"/>
                <w:sz w:val="14"/>
                <w:szCs w:val="14"/>
              </w:rPr>
              <w:t>886.974.126.418,36</w:t>
            </w:r>
          </w:p>
        </w:tc>
        <w:tc>
          <w:tcPr>
            <w:tcW w:w="1559" w:type="dxa"/>
          </w:tcPr>
          <w:p>
            <w:pPr>
              <w:tabs>
                <w:tab w:val="left" w:pos="0"/>
              </w:tabs>
              <w:spacing w:before="60" w:after="60" w:line="240" w:lineRule="auto"/>
              <w:jc w:val="right"/>
              <w:rPr>
                <w:rFonts w:hint="default" w:ascii="Cambria" w:hAnsi="Cambria" w:cs="Tahoma"/>
                <w:sz w:val="14"/>
                <w:szCs w:val="14"/>
              </w:rPr>
            </w:pPr>
            <w:r>
              <w:rPr>
                <w:rFonts w:hint="default" w:ascii="Cambria" w:hAnsi="Cambria" w:cs="Tahoma"/>
                <w:sz w:val="14"/>
                <w:szCs w:val="14"/>
              </w:rPr>
              <w:t>1.537.836.079.027,13</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423" w:type="dxa"/>
          </w:tcPr>
          <w:p>
            <w:pPr>
              <w:tabs>
                <w:tab w:val="left" w:pos="0"/>
              </w:tabs>
              <w:spacing w:before="60" w:after="60" w:line="240" w:lineRule="auto"/>
              <w:jc w:val="center"/>
              <w:rPr>
                <w:rFonts w:ascii="Cambria" w:hAnsi="Cambria" w:cs="Tahoma"/>
                <w:sz w:val="14"/>
                <w:szCs w:val="14"/>
              </w:rPr>
            </w:pPr>
            <w:r>
              <w:rPr>
                <w:rFonts w:ascii="Cambria" w:hAnsi="Cambria" w:cs="Tahoma"/>
                <w:sz w:val="14"/>
                <w:szCs w:val="14"/>
              </w:rPr>
              <w:t>3</w:t>
            </w:r>
          </w:p>
        </w:tc>
        <w:tc>
          <w:tcPr>
            <w:tcW w:w="1926" w:type="dxa"/>
          </w:tcPr>
          <w:p>
            <w:pPr>
              <w:tabs>
                <w:tab w:val="left" w:pos="0"/>
              </w:tabs>
              <w:spacing w:before="60" w:after="60" w:line="240" w:lineRule="auto"/>
              <w:jc w:val="left"/>
              <w:rPr>
                <w:rFonts w:ascii="Cambria" w:hAnsi="Cambria" w:cs="Tahoma"/>
                <w:sz w:val="14"/>
                <w:szCs w:val="14"/>
              </w:rPr>
            </w:pPr>
            <w:r>
              <w:rPr>
                <w:rFonts w:ascii="Cambria" w:hAnsi="Cambria" w:cs="Tahoma"/>
                <w:sz w:val="14"/>
                <w:szCs w:val="14"/>
              </w:rPr>
              <w:t>Gedung dan Bangunan</w:t>
            </w:r>
          </w:p>
        </w:tc>
        <w:tc>
          <w:tcPr>
            <w:tcW w:w="1557" w:type="dxa"/>
            <w:vAlign w:val="top"/>
          </w:tcPr>
          <w:p>
            <w:pPr>
              <w:tabs>
                <w:tab w:val="left" w:pos="0"/>
              </w:tabs>
              <w:spacing w:before="60" w:after="60" w:line="240" w:lineRule="auto"/>
              <w:jc w:val="right"/>
              <w:rPr>
                <w:rFonts w:hint="default" w:ascii="Cambria" w:hAnsi="Cambria" w:cs="Cambria"/>
                <w:color w:val="000000" w:themeColor="text1"/>
                <w:sz w:val="14"/>
                <w:szCs w:val="14"/>
                <w14:textFill>
                  <w14:solidFill>
                    <w14:schemeClr w14:val="tx1"/>
                  </w14:solidFill>
                </w14:textFill>
              </w:rPr>
            </w:pPr>
            <w:r>
              <w:rPr>
                <w:rFonts w:ascii="Cambria" w:hAnsi="Cambria" w:cs="Tahoma"/>
                <w:sz w:val="14"/>
                <w:szCs w:val="14"/>
              </w:rPr>
              <w:t>906.031.999.029,79</w:t>
            </w:r>
          </w:p>
        </w:tc>
        <w:tc>
          <w:tcPr>
            <w:tcW w:w="1523" w:type="dxa"/>
            <w:vAlign w:val="top"/>
          </w:tcPr>
          <w:p>
            <w:pPr>
              <w:tabs>
                <w:tab w:val="left" w:pos="0"/>
              </w:tabs>
              <w:spacing w:before="60" w:after="60" w:line="240" w:lineRule="auto"/>
              <w:jc w:val="right"/>
              <w:rPr>
                <w:rFonts w:ascii="Cambria" w:hAnsi="Cambria" w:cs="Tahoma"/>
                <w:sz w:val="14"/>
                <w:szCs w:val="14"/>
              </w:rPr>
            </w:pPr>
            <w:r>
              <w:rPr>
                <w:rFonts w:ascii="Cambria" w:hAnsi="Cambria" w:cs="Tahoma"/>
                <w:sz w:val="14"/>
                <w:szCs w:val="14"/>
              </w:rPr>
              <w:t>1.010.557.655.202,08</w:t>
            </w:r>
          </w:p>
        </w:tc>
        <w:tc>
          <w:tcPr>
            <w:tcW w:w="1523" w:type="dxa"/>
            <w:vAlign w:val="top"/>
          </w:tcPr>
          <w:p>
            <w:pPr>
              <w:tabs>
                <w:tab w:val="left" w:pos="0"/>
              </w:tabs>
              <w:spacing w:before="60" w:after="60" w:line="240" w:lineRule="auto"/>
              <w:jc w:val="right"/>
              <w:rPr>
                <w:rFonts w:ascii="Cambria" w:hAnsi="Cambria" w:cs="Tahoma"/>
                <w:sz w:val="14"/>
                <w:szCs w:val="14"/>
              </w:rPr>
            </w:pPr>
            <w:r>
              <w:rPr>
                <w:rFonts w:ascii="Cambria" w:hAnsi="Cambria" w:cs="Tahoma"/>
                <w:sz w:val="14"/>
                <w:szCs w:val="14"/>
              </w:rPr>
              <w:t>1.266.591.526.243,70</w:t>
            </w:r>
          </w:p>
        </w:tc>
        <w:tc>
          <w:tcPr>
            <w:tcW w:w="1554" w:type="dxa"/>
          </w:tcPr>
          <w:p>
            <w:pPr>
              <w:tabs>
                <w:tab w:val="left" w:pos="0"/>
              </w:tabs>
              <w:spacing w:before="60" w:after="60" w:line="240" w:lineRule="auto"/>
              <w:jc w:val="right"/>
              <w:rPr>
                <w:rFonts w:hint="default" w:ascii="Cambria" w:hAnsi="Cambria" w:cs="Tahoma"/>
                <w:sz w:val="14"/>
                <w:szCs w:val="14"/>
              </w:rPr>
            </w:pPr>
            <w:r>
              <w:rPr>
                <w:rFonts w:hint="default" w:ascii="Cambria" w:hAnsi="Cambria" w:cs="Tahoma"/>
                <w:sz w:val="14"/>
                <w:szCs w:val="14"/>
              </w:rPr>
              <w:t>1.609.823.684.247,37</w:t>
            </w:r>
          </w:p>
        </w:tc>
        <w:tc>
          <w:tcPr>
            <w:tcW w:w="1559" w:type="dxa"/>
          </w:tcPr>
          <w:p>
            <w:pPr>
              <w:tabs>
                <w:tab w:val="left" w:pos="0"/>
              </w:tabs>
              <w:spacing w:before="60" w:after="60" w:line="240" w:lineRule="auto"/>
              <w:jc w:val="right"/>
              <w:rPr>
                <w:rFonts w:hint="default" w:ascii="Cambria" w:hAnsi="Cambria" w:cs="Tahoma"/>
                <w:sz w:val="14"/>
                <w:szCs w:val="14"/>
              </w:rPr>
            </w:pPr>
            <w:r>
              <w:rPr>
                <w:rFonts w:hint="default" w:ascii="Cambria" w:hAnsi="Cambria" w:cs="Tahoma"/>
                <w:sz w:val="14"/>
                <w:szCs w:val="14"/>
              </w:rPr>
              <w:t>3.518.268.544.386,95</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423" w:type="dxa"/>
          </w:tcPr>
          <w:p>
            <w:pPr>
              <w:tabs>
                <w:tab w:val="left" w:pos="0"/>
              </w:tabs>
              <w:spacing w:before="60" w:after="60" w:line="240" w:lineRule="auto"/>
              <w:jc w:val="center"/>
              <w:rPr>
                <w:rFonts w:ascii="Cambria" w:hAnsi="Cambria" w:cs="Tahoma"/>
                <w:sz w:val="14"/>
                <w:szCs w:val="14"/>
              </w:rPr>
            </w:pPr>
            <w:r>
              <w:rPr>
                <w:rFonts w:ascii="Cambria" w:hAnsi="Cambria" w:cs="Tahoma"/>
                <w:sz w:val="14"/>
                <w:szCs w:val="14"/>
              </w:rPr>
              <w:t>4</w:t>
            </w:r>
          </w:p>
        </w:tc>
        <w:tc>
          <w:tcPr>
            <w:tcW w:w="1926" w:type="dxa"/>
          </w:tcPr>
          <w:p>
            <w:pPr>
              <w:tabs>
                <w:tab w:val="left" w:pos="0"/>
              </w:tabs>
              <w:spacing w:before="60" w:after="60" w:line="240" w:lineRule="auto"/>
              <w:jc w:val="left"/>
              <w:rPr>
                <w:rFonts w:ascii="Cambria" w:hAnsi="Cambria" w:cs="Tahoma"/>
                <w:sz w:val="14"/>
                <w:szCs w:val="14"/>
              </w:rPr>
            </w:pPr>
            <w:r>
              <w:rPr>
                <w:rFonts w:ascii="Cambria" w:hAnsi="Cambria" w:cs="Tahoma"/>
                <w:sz w:val="14"/>
                <w:szCs w:val="14"/>
              </w:rPr>
              <w:t>Jalan, Irigasi dan Jaringan</w:t>
            </w:r>
          </w:p>
        </w:tc>
        <w:tc>
          <w:tcPr>
            <w:tcW w:w="1557" w:type="dxa"/>
            <w:vAlign w:val="top"/>
          </w:tcPr>
          <w:p>
            <w:pPr>
              <w:tabs>
                <w:tab w:val="left" w:pos="0"/>
              </w:tabs>
              <w:spacing w:before="60" w:after="60" w:line="240" w:lineRule="auto"/>
              <w:jc w:val="right"/>
              <w:rPr>
                <w:rFonts w:hint="default" w:ascii="Cambria" w:hAnsi="Cambria" w:cs="Cambria"/>
                <w:color w:val="000000" w:themeColor="text1"/>
                <w:sz w:val="14"/>
                <w:szCs w:val="14"/>
                <w14:textFill>
                  <w14:solidFill>
                    <w14:schemeClr w14:val="tx1"/>
                  </w14:solidFill>
                </w14:textFill>
              </w:rPr>
            </w:pPr>
            <w:r>
              <w:rPr>
                <w:rFonts w:ascii="Cambria" w:hAnsi="Cambria" w:cs="Tahoma"/>
                <w:sz w:val="14"/>
                <w:szCs w:val="14"/>
              </w:rPr>
              <w:t>3.686.824.238.423,09</w:t>
            </w:r>
          </w:p>
        </w:tc>
        <w:tc>
          <w:tcPr>
            <w:tcW w:w="1523" w:type="dxa"/>
            <w:vAlign w:val="top"/>
          </w:tcPr>
          <w:p>
            <w:pPr>
              <w:tabs>
                <w:tab w:val="left" w:pos="0"/>
              </w:tabs>
              <w:spacing w:before="60" w:after="60" w:line="240" w:lineRule="auto"/>
              <w:jc w:val="right"/>
              <w:rPr>
                <w:rFonts w:ascii="Cambria" w:hAnsi="Cambria" w:cs="Tahoma"/>
                <w:sz w:val="14"/>
                <w:szCs w:val="14"/>
              </w:rPr>
            </w:pPr>
            <w:r>
              <w:rPr>
                <w:rFonts w:ascii="Cambria" w:hAnsi="Cambria" w:cs="Tahoma"/>
                <w:sz w:val="14"/>
                <w:szCs w:val="14"/>
              </w:rPr>
              <w:t>4.295.971.956.071,16</w:t>
            </w:r>
          </w:p>
        </w:tc>
        <w:tc>
          <w:tcPr>
            <w:tcW w:w="1523" w:type="dxa"/>
            <w:vAlign w:val="top"/>
          </w:tcPr>
          <w:p>
            <w:pPr>
              <w:tabs>
                <w:tab w:val="left" w:pos="0"/>
              </w:tabs>
              <w:spacing w:before="60" w:after="60" w:line="240" w:lineRule="auto"/>
              <w:jc w:val="right"/>
              <w:rPr>
                <w:rFonts w:ascii="Cambria" w:hAnsi="Cambria" w:cs="Tahoma"/>
                <w:sz w:val="14"/>
                <w:szCs w:val="14"/>
              </w:rPr>
            </w:pPr>
            <w:r>
              <w:rPr>
                <w:rFonts w:ascii="Cambria" w:hAnsi="Cambria" w:cs="Tahoma"/>
                <w:sz w:val="14"/>
                <w:szCs w:val="14"/>
              </w:rPr>
              <w:t>4.508.513.883.121,43</w:t>
            </w:r>
          </w:p>
        </w:tc>
        <w:tc>
          <w:tcPr>
            <w:tcW w:w="1554" w:type="dxa"/>
          </w:tcPr>
          <w:p>
            <w:pPr>
              <w:tabs>
                <w:tab w:val="left" w:pos="0"/>
              </w:tabs>
              <w:spacing w:before="60" w:after="60" w:line="240" w:lineRule="auto"/>
              <w:jc w:val="right"/>
              <w:rPr>
                <w:rFonts w:hint="default" w:ascii="Cambria" w:hAnsi="Cambria" w:cs="Tahoma"/>
                <w:sz w:val="14"/>
                <w:szCs w:val="14"/>
              </w:rPr>
            </w:pPr>
            <w:r>
              <w:rPr>
                <w:rFonts w:hint="default" w:ascii="Cambria" w:hAnsi="Cambria" w:cs="Tahoma"/>
                <w:sz w:val="14"/>
                <w:szCs w:val="14"/>
              </w:rPr>
              <w:t>4.811.200.588.696,43</w:t>
            </w:r>
          </w:p>
        </w:tc>
        <w:tc>
          <w:tcPr>
            <w:tcW w:w="1559" w:type="dxa"/>
          </w:tcPr>
          <w:p>
            <w:pPr>
              <w:tabs>
                <w:tab w:val="left" w:pos="0"/>
              </w:tabs>
              <w:spacing w:before="60" w:after="60" w:line="240" w:lineRule="auto"/>
              <w:jc w:val="right"/>
              <w:rPr>
                <w:rFonts w:hint="default" w:ascii="Cambria" w:hAnsi="Cambria" w:cs="Tahoma"/>
                <w:sz w:val="14"/>
                <w:szCs w:val="14"/>
              </w:rPr>
            </w:pPr>
            <w:r>
              <w:rPr>
                <w:rFonts w:hint="default" w:ascii="Cambria" w:hAnsi="Cambria" w:cs="Tahoma"/>
                <w:sz w:val="14"/>
                <w:szCs w:val="14"/>
              </w:rPr>
              <w:t>5.201.866.398.552,56</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423" w:type="dxa"/>
          </w:tcPr>
          <w:p>
            <w:pPr>
              <w:tabs>
                <w:tab w:val="left" w:pos="0"/>
              </w:tabs>
              <w:spacing w:before="60" w:after="60" w:line="240" w:lineRule="auto"/>
              <w:jc w:val="center"/>
              <w:rPr>
                <w:rFonts w:ascii="Cambria" w:hAnsi="Cambria" w:cs="Tahoma"/>
                <w:sz w:val="14"/>
                <w:szCs w:val="14"/>
              </w:rPr>
            </w:pPr>
            <w:r>
              <w:rPr>
                <w:rFonts w:ascii="Cambria" w:hAnsi="Cambria" w:cs="Tahoma"/>
                <w:sz w:val="14"/>
                <w:szCs w:val="14"/>
              </w:rPr>
              <w:t>5</w:t>
            </w:r>
          </w:p>
        </w:tc>
        <w:tc>
          <w:tcPr>
            <w:tcW w:w="1926" w:type="dxa"/>
          </w:tcPr>
          <w:p>
            <w:pPr>
              <w:tabs>
                <w:tab w:val="left" w:pos="0"/>
              </w:tabs>
              <w:spacing w:before="60" w:after="60" w:line="240" w:lineRule="auto"/>
              <w:jc w:val="left"/>
              <w:rPr>
                <w:rFonts w:ascii="Cambria" w:hAnsi="Cambria" w:cs="Tahoma"/>
                <w:sz w:val="14"/>
                <w:szCs w:val="14"/>
              </w:rPr>
            </w:pPr>
            <w:r>
              <w:rPr>
                <w:rFonts w:ascii="Cambria" w:hAnsi="Cambria" w:cs="Tahoma"/>
                <w:sz w:val="14"/>
                <w:szCs w:val="14"/>
              </w:rPr>
              <w:t>Aset Tetap Lainnya</w:t>
            </w:r>
          </w:p>
        </w:tc>
        <w:tc>
          <w:tcPr>
            <w:tcW w:w="1557" w:type="dxa"/>
            <w:vAlign w:val="top"/>
          </w:tcPr>
          <w:p>
            <w:pPr>
              <w:tabs>
                <w:tab w:val="left" w:pos="0"/>
              </w:tabs>
              <w:spacing w:before="60" w:after="60" w:line="240" w:lineRule="auto"/>
              <w:jc w:val="right"/>
              <w:rPr>
                <w:rFonts w:hint="default" w:ascii="Cambria" w:hAnsi="Cambria" w:cs="Cambria"/>
                <w:color w:val="000000" w:themeColor="text1"/>
                <w:sz w:val="14"/>
                <w:szCs w:val="14"/>
                <w14:textFill>
                  <w14:solidFill>
                    <w14:schemeClr w14:val="tx1"/>
                  </w14:solidFill>
                </w14:textFill>
              </w:rPr>
            </w:pPr>
            <w:r>
              <w:rPr>
                <w:rFonts w:ascii="Cambria" w:hAnsi="Cambria" w:cs="Tahoma"/>
                <w:sz w:val="14"/>
                <w:szCs w:val="14"/>
              </w:rPr>
              <w:t>679.619.174.240,54</w:t>
            </w:r>
          </w:p>
        </w:tc>
        <w:tc>
          <w:tcPr>
            <w:tcW w:w="1523" w:type="dxa"/>
            <w:vAlign w:val="top"/>
          </w:tcPr>
          <w:p>
            <w:pPr>
              <w:tabs>
                <w:tab w:val="left" w:pos="0"/>
              </w:tabs>
              <w:spacing w:before="60" w:after="60" w:line="240" w:lineRule="auto"/>
              <w:jc w:val="right"/>
              <w:rPr>
                <w:rFonts w:ascii="Cambria" w:hAnsi="Cambria" w:cs="Tahoma"/>
                <w:sz w:val="14"/>
                <w:szCs w:val="14"/>
              </w:rPr>
            </w:pPr>
            <w:r>
              <w:rPr>
                <w:rFonts w:ascii="Cambria" w:hAnsi="Cambria" w:cs="Tahoma"/>
                <w:sz w:val="14"/>
                <w:szCs w:val="14"/>
              </w:rPr>
              <w:t>829.985.201.855,74</w:t>
            </w:r>
          </w:p>
        </w:tc>
        <w:tc>
          <w:tcPr>
            <w:tcW w:w="1523" w:type="dxa"/>
            <w:vAlign w:val="top"/>
          </w:tcPr>
          <w:p>
            <w:pPr>
              <w:tabs>
                <w:tab w:val="left" w:pos="0"/>
              </w:tabs>
              <w:spacing w:before="60" w:after="60" w:line="240" w:lineRule="auto"/>
              <w:jc w:val="right"/>
              <w:rPr>
                <w:rFonts w:ascii="Cambria" w:hAnsi="Cambria" w:cs="Tahoma"/>
                <w:sz w:val="14"/>
                <w:szCs w:val="14"/>
              </w:rPr>
            </w:pPr>
            <w:r>
              <w:rPr>
                <w:rFonts w:ascii="Cambria" w:hAnsi="Cambria" w:cs="Tahoma"/>
                <w:sz w:val="14"/>
                <w:szCs w:val="14"/>
              </w:rPr>
              <w:t>1.188.870.768.396,01</w:t>
            </w:r>
          </w:p>
        </w:tc>
        <w:tc>
          <w:tcPr>
            <w:tcW w:w="1554" w:type="dxa"/>
          </w:tcPr>
          <w:p>
            <w:pPr>
              <w:tabs>
                <w:tab w:val="left" w:pos="0"/>
              </w:tabs>
              <w:spacing w:before="60" w:after="60" w:line="240" w:lineRule="auto"/>
              <w:jc w:val="right"/>
              <w:rPr>
                <w:rFonts w:hint="default" w:ascii="Cambria" w:hAnsi="Cambria" w:cs="Tahoma"/>
                <w:sz w:val="14"/>
                <w:szCs w:val="14"/>
              </w:rPr>
            </w:pPr>
            <w:r>
              <w:rPr>
                <w:rFonts w:hint="default" w:ascii="Cambria" w:hAnsi="Cambria" w:cs="Tahoma"/>
                <w:sz w:val="14"/>
                <w:szCs w:val="14"/>
              </w:rPr>
              <w:t>1.196.796.645.027,01</w:t>
            </w:r>
          </w:p>
        </w:tc>
        <w:tc>
          <w:tcPr>
            <w:tcW w:w="1559" w:type="dxa"/>
          </w:tcPr>
          <w:p>
            <w:pPr>
              <w:tabs>
                <w:tab w:val="left" w:pos="0"/>
              </w:tabs>
              <w:spacing w:before="60" w:after="60" w:line="240" w:lineRule="auto"/>
              <w:jc w:val="right"/>
              <w:rPr>
                <w:rFonts w:hint="default" w:ascii="Cambria" w:hAnsi="Cambria" w:cs="Tahoma"/>
                <w:sz w:val="14"/>
                <w:szCs w:val="14"/>
              </w:rPr>
            </w:pPr>
            <w:r>
              <w:rPr>
                <w:rFonts w:hint="default" w:ascii="Cambria" w:hAnsi="Cambria" w:cs="Tahoma"/>
                <w:sz w:val="14"/>
                <w:szCs w:val="14"/>
              </w:rPr>
              <w:t>892.093.436.042,57</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423" w:type="dxa"/>
          </w:tcPr>
          <w:p>
            <w:pPr>
              <w:tabs>
                <w:tab w:val="left" w:pos="0"/>
              </w:tabs>
              <w:spacing w:before="60" w:after="60" w:line="240" w:lineRule="auto"/>
              <w:jc w:val="center"/>
              <w:rPr>
                <w:rFonts w:ascii="Cambria" w:hAnsi="Cambria" w:cs="Tahoma"/>
                <w:sz w:val="14"/>
                <w:szCs w:val="14"/>
              </w:rPr>
            </w:pPr>
            <w:r>
              <w:rPr>
                <w:rFonts w:ascii="Cambria" w:hAnsi="Cambria" w:cs="Tahoma"/>
                <w:sz w:val="14"/>
                <w:szCs w:val="14"/>
              </w:rPr>
              <w:t>6</w:t>
            </w:r>
          </w:p>
        </w:tc>
        <w:tc>
          <w:tcPr>
            <w:tcW w:w="1926" w:type="dxa"/>
          </w:tcPr>
          <w:p>
            <w:pPr>
              <w:tabs>
                <w:tab w:val="left" w:pos="0"/>
              </w:tabs>
              <w:spacing w:before="60" w:after="60" w:line="240" w:lineRule="auto"/>
              <w:jc w:val="left"/>
              <w:rPr>
                <w:rFonts w:ascii="Cambria" w:hAnsi="Cambria" w:cs="Tahoma"/>
                <w:sz w:val="14"/>
                <w:szCs w:val="14"/>
              </w:rPr>
            </w:pPr>
            <w:r>
              <w:rPr>
                <w:rFonts w:ascii="Cambria" w:hAnsi="Cambria" w:cs="Tahoma"/>
                <w:sz w:val="14"/>
                <w:szCs w:val="14"/>
              </w:rPr>
              <w:t>KDP</w:t>
            </w:r>
          </w:p>
        </w:tc>
        <w:tc>
          <w:tcPr>
            <w:tcW w:w="1557" w:type="dxa"/>
            <w:vAlign w:val="top"/>
          </w:tcPr>
          <w:p>
            <w:pPr>
              <w:tabs>
                <w:tab w:val="left" w:pos="0"/>
              </w:tabs>
              <w:spacing w:before="60" w:after="60" w:line="240" w:lineRule="auto"/>
              <w:jc w:val="right"/>
              <w:rPr>
                <w:rFonts w:hint="default" w:ascii="Cambria" w:hAnsi="Cambria" w:cs="Cambria"/>
                <w:color w:val="000000" w:themeColor="text1"/>
                <w:sz w:val="14"/>
                <w:szCs w:val="14"/>
                <w14:textFill>
                  <w14:solidFill>
                    <w14:schemeClr w14:val="tx1"/>
                  </w14:solidFill>
                </w14:textFill>
              </w:rPr>
            </w:pPr>
            <w:r>
              <w:rPr>
                <w:rFonts w:ascii="Cambria" w:hAnsi="Cambria" w:cs="Tahoma"/>
                <w:sz w:val="14"/>
                <w:szCs w:val="14"/>
              </w:rPr>
              <w:t>588.226.370.238,55</w:t>
            </w:r>
          </w:p>
        </w:tc>
        <w:tc>
          <w:tcPr>
            <w:tcW w:w="1523" w:type="dxa"/>
            <w:vAlign w:val="top"/>
          </w:tcPr>
          <w:p>
            <w:pPr>
              <w:tabs>
                <w:tab w:val="left" w:pos="0"/>
              </w:tabs>
              <w:spacing w:before="60" w:after="60" w:line="240" w:lineRule="auto"/>
              <w:jc w:val="right"/>
              <w:rPr>
                <w:rFonts w:ascii="Cambria" w:hAnsi="Cambria" w:cs="Tahoma"/>
                <w:sz w:val="14"/>
                <w:szCs w:val="14"/>
              </w:rPr>
            </w:pPr>
            <w:r>
              <w:rPr>
                <w:rFonts w:ascii="Cambria" w:hAnsi="Cambria" w:cs="Tahoma"/>
                <w:sz w:val="14"/>
                <w:szCs w:val="14"/>
              </w:rPr>
              <w:t>521.135.080.442,95</w:t>
            </w:r>
          </w:p>
        </w:tc>
        <w:tc>
          <w:tcPr>
            <w:tcW w:w="1523" w:type="dxa"/>
            <w:vAlign w:val="top"/>
          </w:tcPr>
          <w:p>
            <w:pPr>
              <w:tabs>
                <w:tab w:val="left" w:pos="0"/>
              </w:tabs>
              <w:spacing w:before="60" w:after="60" w:line="240" w:lineRule="auto"/>
              <w:jc w:val="right"/>
              <w:rPr>
                <w:rFonts w:ascii="Cambria" w:hAnsi="Cambria" w:cs="Tahoma"/>
                <w:sz w:val="14"/>
                <w:szCs w:val="14"/>
              </w:rPr>
            </w:pPr>
            <w:r>
              <w:rPr>
                <w:rFonts w:ascii="Cambria" w:hAnsi="Cambria" w:cs="Tahoma"/>
                <w:sz w:val="14"/>
                <w:szCs w:val="14"/>
              </w:rPr>
              <w:t>653.603.730.726,00</w:t>
            </w:r>
          </w:p>
        </w:tc>
        <w:tc>
          <w:tcPr>
            <w:tcW w:w="1554" w:type="dxa"/>
          </w:tcPr>
          <w:p>
            <w:pPr>
              <w:tabs>
                <w:tab w:val="left" w:pos="0"/>
              </w:tabs>
              <w:spacing w:before="60" w:after="60" w:line="240" w:lineRule="auto"/>
              <w:jc w:val="right"/>
              <w:rPr>
                <w:rFonts w:hint="default" w:ascii="Cambria" w:hAnsi="Cambria" w:cs="Tahoma"/>
                <w:sz w:val="14"/>
                <w:szCs w:val="14"/>
              </w:rPr>
            </w:pPr>
            <w:r>
              <w:rPr>
                <w:rFonts w:hint="default" w:ascii="Cambria" w:hAnsi="Cambria" w:cs="Tahoma"/>
                <w:sz w:val="14"/>
                <w:szCs w:val="14"/>
              </w:rPr>
              <w:t>583.252.274.654,00</w:t>
            </w:r>
          </w:p>
        </w:tc>
        <w:tc>
          <w:tcPr>
            <w:tcW w:w="1559" w:type="dxa"/>
          </w:tcPr>
          <w:p>
            <w:pPr>
              <w:tabs>
                <w:tab w:val="left" w:pos="0"/>
              </w:tabs>
              <w:spacing w:before="60" w:after="60" w:line="240" w:lineRule="auto"/>
              <w:jc w:val="right"/>
              <w:rPr>
                <w:rFonts w:hint="default" w:ascii="Cambria" w:hAnsi="Cambria" w:cs="Tahoma"/>
                <w:sz w:val="14"/>
                <w:szCs w:val="14"/>
              </w:rPr>
            </w:pPr>
            <w:r>
              <w:rPr>
                <w:rFonts w:hint="default" w:ascii="Cambria" w:hAnsi="Cambria" w:cs="Tahoma"/>
                <w:sz w:val="14"/>
                <w:szCs w:val="14"/>
              </w:rPr>
              <w:t>404.792.545.717,44</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420" w:hRule="atLeast"/>
        </w:trPr>
        <w:tc>
          <w:tcPr>
            <w:tcW w:w="423" w:type="dxa"/>
          </w:tcPr>
          <w:p>
            <w:pPr>
              <w:tabs>
                <w:tab w:val="left" w:pos="0"/>
              </w:tabs>
              <w:spacing w:before="60" w:after="60" w:line="240" w:lineRule="auto"/>
              <w:jc w:val="center"/>
              <w:rPr>
                <w:rFonts w:ascii="Cambria" w:hAnsi="Cambria" w:cs="Tahoma"/>
                <w:sz w:val="14"/>
                <w:szCs w:val="14"/>
              </w:rPr>
            </w:pPr>
          </w:p>
        </w:tc>
        <w:tc>
          <w:tcPr>
            <w:tcW w:w="1926" w:type="dxa"/>
          </w:tcPr>
          <w:p>
            <w:pPr>
              <w:tabs>
                <w:tab w:val="left" w:pos="0"/>
              </w:tabs>
              <w:spacing w:before="60" w:after="60" w:line="240" w:lineRule="auto"/>
              <w:jc w:val="left"/>
              <w:rPr>
                <w:rFonts w:hint="default" w:ascii="Cambria" w:hAnsi="Cambria" w:cs="Cambria"/>
                <w:color w:val="000000" w:themeColor="text1"/>
                <w:sz w:val="14"/>
                <w:szCs w:val="14"/>
                <w14:textFill>
                  <w14:solidFill>
                    <w14:schemeClr w14:val="tx1"/>
                  </w14:solidFill>
                </w14:textFill>
              </w:rPr>
            </w:pPr>
            <w:r>
              <w:rPr>
                <w:rFonts w:hint="default" w:ascii="Cambria" w:hAnsi="Cambria" w:cs="Cambria"/>
                <w:color w:val="000000" w:themeColor="text1"/>
                <w:sz w:val="14"/>
                <w:szCs w:val="14"/>
                <w14:textFill>
                  <w14:solidFill>
                    <w14:schemeClr w14:val="tx1"/>
                  </w14:solidFill>
                </w14:textFill>
              </w:rPr>
              <w:t>Jumlah Aset Tetap</w:t>
            </w:r>
          </w:p>
        </w:tc>
        <w:tc>
          <w:tcPr>
            <w:tcW w:w="1557" w:type="dxa"/>
            <w:vAlign w:val="top"/>
          </w:tcPr>
          <w:p>
            <w:pPr>
              <w:tabs>
                <w:tab w:val="left" w:pos="0"/>
              </w:tabs>
              <w:spacing w:before="60" w:after="60" w:line="240" w:lineRule="auto"/>
              <w:jc w:val="right"/>
              <w:rPr>
                <w:rFonts w:hint="default" w:ascii="Cambria" w:hAnsi="Cambria" w:cs="Cambria"/>
                <w:color w:val="000000" w:themeColor="text1"/>
                <w:sz w:val="14"/>
                <w:szCs w:val="14"/>
                <w14:textFill>
                  <w14:solidFill>
                    <w14:schemeClr w14:val="tx1"/>
                  </w14:solidFill>
                </w14:textFill>
              </w:rPr>
            </w:pPr>
            <w:r>
              <w:rPr>
                <w:rFonts w:ascii="Cambria" w:hAnsi="Cambria" w:cs="Tahoma"/>
                <w:sz w:val="14"/>
                <w:szCs w:val="14"/>
              </w:rPr>
              <w:t>7.995.230.240.346,29</w:t>
            </w:r>
          </w:p>
        </w:tc>
        <w:tc>
          <w:tcPr>
            <w:tcW w:w="1523" w:type="dxa"/>
            <w:vAlign w:val="top"/>
          </w:tcPr>
          <w:p>
            <w:pPr>
              <w:tabs>
                <w:tab w:val="left" w:pos="0"/>
              </w:tabs>
              <w:spacing w:before="60" w:after="60" w:line="240" w:lineRule="auto"/>
              <w:jc w:val="right"/>
              <w:rPr>
                <w:rFonts w:ascii="Cambria" w:hAnsi="Cambria" w:cs="Tahoma"/>
                <w:sz w:val="14"/>
                <w:szCs w:val="14"/>
              </w:rPr>
            </w:pPr>
            <w:r>
              <w:rPr>
                <w:rFonts w:ascii="Cambria" w:hAnsi="Cambria" w:cs="Tahoma"/>
                <w:sz w:val="14"/>
                <w:szCs w:val="14"/>
              </w:rPr>
              <w:t>8.984.506.661.588,00</w:t>
            </w:r>
          </w:p>
        </w:tc>
        <w:tc>
          <w:tcPr>
            <w:tcW w:w="1523" w:type="dxa"/>
            <w:vAlign w:val="top"/>
          </w:tcPr>
          <w:p>
            <w:pPr>
              <w:tabs>
                <w:tab w:val="left" w:pos="0"/>
              </w:tabs>
              <w:spacing w:before="60" w:after="60" w:line="240" w:lineRule="auto"/>
              <w:jc w:val="right"/>
              <w:rPr>
                <w:rFonts w:ascii="Cambria" w:hAnsi="Cambria" w:cs="Tahoma"/>
                <w:sz w:val="14"/>
                <w:szCs w:val="14"/>
              </w:rPr>
            </w:pPr>
            <w:r>
              <w:rPr>
                <w:rFonts w:ascii="Cambria" w:hAnsi="Cambria" w:cs="Tahoma"/>
                <w:sz w:val="14"/>
                <w:szCs w:val="14"/>
              </w:rPr>
              <w:t>9.948.889.074.647,21</w:t>
            </w:r>
          </w:p>
        </w:tc>
        <w:tc>
          <w:tcPr>
            <w:tcW w:w="1554" w:type="dxa"/>
          </w:tcPr>
          <w:p>
            <w:pPr>
              <w:spacing w:before="60" w:after="60" w:line="240" w:lineRule="auto"/>
              <w:ind w:left="-220" w:leftChars="-100" w:firstLine="0" w:firstLineChars="0"/>
              <w:jc w:val="right"/>
              <w:rPr>
                <w:rFonts w:hint="default" w:ascii="Cambria" w:hAnsi="Cambria" w:cs="Tahoma"/>
                <w:sz w:val="14"/>
                <w:szCs w:val="14"/>
              </w:rPr>
            </w:pPr>
            <w:r>
              <w:rPr>
                <w:rFonts w:hint="default" w:ascii="Cambria" w:hAnsi="Cambria" w:cs="Tahoma"/>
                <w:sz w:val="14"/>
                <w:szCs w:val="14"/>
              </w:rPr>
              <w:t>10.698.872.551.247,70</w:t>
            </w:r>
          </w:p>
        </w:tc>
        <w:tc>
          <w:tcPr>
            <w:tcW w:w="1559" w:type="dxa"/>
          </w:tcPr>
          <w:p>
            <w:pPr>
              <w:tabs>
                <w:tab w:val="left" w:pos="-220"/>
              </w:tabs>
              <w:spacing w:before="60" w:after="60" w:line="240" w:lineRule="auto"/>
              <w:ind w:left="-220" w:leftChars="-100" w:firstLine="0" w:firstLineChars="0"/>
              <w:jc w:val="right"/>
              <w:rPr>
                <w:rFonts w:hint="default" w:ascii="Cambria" w:hAnsi="Cambria" w:cs="Tahoma"/>
                <w:sz w:val="14"/>
                <w:szCs w:val="14"/>
              </w:rPr>
            </w:pPr>
            <w:r>
              <w:rPr>
                <w:rFonts w:hint="default" w:ascii="Cambria" w:hAnsi="Cambria" w:cs="Tahoma"/>
                <w:sz w:val="14"/>
                <w:szCs w:val="14"/>
              </w:rPr>
              <w:t>13.595.387.080.622,60</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423" w:type="dxa"/>
          </w:tcPr>
          <w:p>
            <w:pPr>
              <w:tabs>
                <w:tab w:val="left" w:pos="0"/>
              </w:tabs>
              <w:spacing w:before="60" w:after="60" w:line="240" w:lineRule="auto"/>
              <w:jc w:val="center"/>
              <w:rPr>
                <w:rFonts w:ascii="Cambria" w:hAnsi="Cambria" w:cs="Tahoma"/>
                <w:sz w:val="14"/>
                <w:szCs w:val="14"/>
              </w:rPr>
            </w:pPr>
          </w:p>
        </w:tc>
        <w:tc>
          <w:tcPr>
            <w:tcW w:w="1926" w:type="dxa"/>
          </w:tcPr>
          <w:p>
            <w:pPr>
              <w:tabs>
                <w:tab w:val="left" w:pos="0"/>
              </w:tabs>
              <w:spacing w:before="60" w:after="60" w:line="240" w:lineRule="auto"/>
              <w:jc w:val="left"/>
              <w:rPr>
                <w:rFonts w:ascii="Cambria" w:hAnsi="Cambria" w:cs="Tahoma"/>
                <w:sz w:val="14"/>
                <w:szCs w:val="14"/>
              </w:rPr>
            </w:pPr>
            <w:r>
              <w:rPr>
                <w:rFonts w:ascii="Cambria" w:hAnsi="Cambria" w:cs="Tahoma"/>
                <w:sz w:val="14"/>
                <w:szCs w:val="14"/>
              </w:rPr>
              <w:t>Aset Lainnya</w:t>
            </w:r>
          </w:p>
        </w:tc>
        <w:tc>
          <w:tcPr>
            <w:tcW w:w="1557" w:type="dxa"/>
            <w:vAlign w:val="top"/>
          </w:tcPr>
          <w:p>
            <w:pPr>
              <w:tabs>
                <w:tab w:val="left" w:pos="0"/>
              </w:tabs>
              <w:spacing w:before="60" w:after="60" w:line="240" w:lineRule="auto"/>
              <w:jc w:val="right"/>
              <w:rPr>
                <w:rFonts w:ascii="Cambria" w:hAnsi="Cambria" w:cs="Tahoma"/>
                <w:sz w:val="14"/>
                <w:szCs w:val="14"/>
              </w:rPr>
            </w:pPr>
          </w:p>
        </w:tc>
        <w:tc>
          <w:tcPr>
            <w:tcW w:w="1523" w:type="dxa"/>
            <w:vAlign w:val="top"/>
          </w:tcPr>
          <w:p>
            <w:pPr>
              <w:tabs>
                <w:tab w:val="left" w:pos="0"/>
              </w:tabs>
              <w:spacing w:before="60" w:after="60" w:line="240" w:lineRule="auto"/>
              <w:jc w:val="right"/>
              <w:rPr>
                <w:rFonts w:ascii="Cambria" w:hAnsi="Cambria" w:cs="Tahoma"/>
                <w:sz w:val="14"/>
                <w:szCs w:val="14"/>
              </w:rPr>
            </w:pPr>
          </w:p>
        </w:tc>
        <w:tc>
          <w:tcPr>
            <w:tcW w:w="1523" w:type="dxa"/>
            <w:vAlign w:val="top"/>
          </w:tcPr>
          <w:p>
            <w:pPr>
              <w:tabs>
                <w:tab w:val="left" w:pos="0"/>
              </w:tabs>
              <w:spacing w:before="60" w:after="60" w:line="240" w:lineRule="auto"/>
              <w:jc w:val="right"/>
              <w:rPr>
                <w:rFonts w:ascii="Cambria" w:hAnsi="Cambria" w:cs="Tahoma"/>
                <w:sz w:val="14"/>
                <w:szCs w:val="14"/>
              </w:rPr>
            </w:pPr>
          </w:p>
        </w:tc>
        <w:tc>
          <w:tcPr>
            <w:tcW w:w="1554" w:type="dxa"/>
          </w:tcPr>
          <w:p>
            <w:pPr>
              <w:tabs>
                <w:tab w:val="left" w:pos="0"/>
              </w:tabs>
              <w:spacing w:before="60" w:after="60" w:line="240" w:lineRule="auto"/>
              <w:jc w:val="right"/>
              <w:rPr>
                <w:rFonts w:ascii="Cambria" w:hAnsi="Cambria" w:cs="Tahoma"/>
                <w:sz w:val="14"/>
                <w:szCs w:val="14"/>
              </w:rPr>
            </w:pPr>
          </w:p>
        </w:tc>
        <w:tc>
          <w:tcPr>
            <w:tcW w:w="1559" w:type="dxa"/>
          </w:tcPr>
          <w:p>
            <w:pPr>
              <w:tabs>
                <w:tab w:val="left" w:pos="0"/>
              </w:tabs>
              <w:spacing w:before="60" w:after="60" w:line="240" w:lineRule="auto"/>
              <w:jc w:val="right"/>
              <w:rPr>
                <w:rFonts w:ascii="Cambria" w:hAnsi="Cambria" w:cs="Tahoma"/>
                <w:sz w:val="14"/>
                <w:szCs w:val="1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423" w:type="dxa"/>
          </w:tcPr>
          <w:p>
            <w:pPr>
              <w:tabs>
                <w:tab w:val="left" w:pos="0"/>
              </w:tabs>
              <w:spacing w:before="60" w:after="60" w:line="240" w:lineRule="auto"/>
              <w:jc w:val="center"/>
              <w:rPr>
                <w:rFonts w:ascii="Cambria" w:hAnsi="Cambria" w:cs="Tahoma"/>
                <w:sz w:val="14"/>
                <w:szCs w:val="14"/>
              </w:rPr>
            </w:pPr>
            <w:r>
              <w:rPr>
                <w:rFonts w:ascii="Cambria" w:hAnsi="Cambria" w:cs="Tahoma"/>
                <w:sz w:val="14"/>
                <w:szCs w:val="14"/>
              </w:rPr>
              <w:t>1</w:t>
            </w:r>
          </w:p>
        </w:tc>
        <w:tc>
          <w:tcPr>
            <w:tcW w:w="1926" w:type="dxa"/>
          </w:tcPr>
          <w:p>
            <w:pPr>
              <w:tabs>
                <w:tab w:val="left" w:pos="0"/>
              </w:tabs>
              <w:spacing w:before="60" w:after="60" w:line="240" w:lineRule="auto"/>
              <w:jc w:val="left"/>
              <w:rPr>
                <w:rFonts w:ascii="Cambria" w:hAnsi="Cambria" w:cs="Tahoma"/>
                <w:sz w:val="14"/>
                <w:szCs w:val="14"/>
              </w:rPr>
            </w:pPr>
            <w:r>
              <w:rPr>
                <w:rFonts w:ascii="Cambria" w:hAnsi="Cambria" w:cs="Tahoma"/>
                <w:sz w:val="14"/>
                <w:szCs w:val="14"/>
              </w:rPr>
              <w:t>Aset Tidak Berwujud</w:t>
            </w:r>
          </w:p>
        </w:tc>
        <w:tc>
          <w:tcPr>
            <w:tcW w:w="1557" w:type="dxa"/>
            <w:vAlign w:val="top"/>
          </w:tcPr>
          <w:p>
            <w:pPr>
              <w:tabs>
                <w:tab w:val="left" w:pos="0"/>
              </w:tabs>
              <w:spacing w:before="60" w:after="60" w:line="240" w:lineRule="auto"/>
              <w:jc w:val="right"/>
              <w:rPr>
                <w:rFonts w:ascii="Cambria" w:hAnsi="Cambria" w:cs="Tahoma"/>
                <w:sz w:val="14"/>
                <w:szCs w:val="14"/>
              </w:rPr>
            </w:pPr>
            <w:r>
              <w:rPr>
                <w:rFonts w:ascii="Cambria" w:hAnsi="Cambria" w:cs="Tahoma"/>
                <w:sz w:val="14"/>
                <w:szCs w:val="14"/>
              </w:rPr>
              <w:t>19.181.100.255,03</w:t>
            </w:r>
          </w:p>
        </w:tc>
        <w:tc>
          <w:tcPr>
            <w:tcW w:w="1523" w:type="dxa"/>
            <w:vAlign w:val="top"/>
          </w:tcPr>
          <w:p>
            <w:pPr>
              <w:tabs>
                <w:tab w:val="left" w:pos="0"/>
              </w:tabs>
              <w:spacing w:before="60" w:after="60" w:line="240" w:lineRule="auto"/>
              <w:jc w:val="right"/>
              <w:rPr>
                <w:rFonts w:ascii="Cambria" w:hAnsi="Cambria" w:cs="Tahoma"/>
                <w:sz w:val="14"/>
                <w:szCs w:val="14"/>
              </w:rPr>
            </w:pPr>
            <w:r>
              <w:rPr>
                <w:rFonts w:ascii="Cambria" w:hAnsi="Cambria" w:cs="Tahoma"/>
                <w:sz w:val="14"/>
                <w:szCs w:val="14"/>
              </w:rPr>
              <w:t>23.098.839.610,03</w:t>
            </w:r>
          </w:p>
        </w:tc>
        <w:tc>
          <w:tcPr>
            <w:tcW w:w="1523" w:type="dxa"/>
            <w:vAlign w:val="top"/>
          </w:tcPr>
          <w:p>
            <w:pPr>
              <w:tabs>
                <w:tab w:val="left" w:pos="0"/>
              </w:tabs>
              <w:spacing w:before="60" w:after="60" w:line="240" w:lineRule="auto"/>
              <w:jc w:val="right"/>
              <w:rPr>
                <w:rFonts w:ascii="Cambria" w:hAnsi="Cambria" w:cs="Tahoma"/>
                <w:sz w:val="14"/>
                <w:szCs w:val="14"/>
              </w:rPr>
            </w:pPr>
            <w:r>
              <w:rPr>
                <w:rFonts w:ascii="Cambria" w:hAnsi="Cambria" w:cs="Tahoma"/>
                <w:sz w:val="14"/>
                <w:szCs w:val="14"/>
              </w:rPr>
              <w:t>27.507.366.115,03</w:t>
            </w:r>
          </w:p>
        </w:tc>
        <w:tc>
          <w:tcPr>
            <w:tcW w:w="1554" w:type="dxa"/>
          </w:tcPr>
          <w:p>
            <w:pPr>
              <w:tabs>
                <w:tab w:val="left" w:pos="0"/>
              </w:tabs>
              <w:spacing w:before="60" w:after="60" w:line="240" w:lineRule="auto"/>
              <w:jc w:val="right"/>
              <w:rPr>
                <w:rFonts w:hint="default" w:ascii="Cambria" w:hAnsi="Cambria" w:cs="Tahoma"/>
                <w:sz w:val="14"/>
                <w:szCs w:val="14"/>
                <w:lang/>
              </w:rPr>
            </w:pPr>
            <w:r>
              <w:rPr>
                <w:rFonts w:hint="default" w:ascii="Cambria" w:hAnsi="Cambria" w:cs="Tahoma"/>
                <w:sz w:val="14"/>
                <w:szCs w:val="14"/>
                <w:lang/>
              </w:rPr>
              <w:t>29.912.902.956,03</w:t>
            </w:r>
          </w:p>
        </w:tc>
        <w:tc>
          <w:tcPr>
            <w:tcW w:w="1559" w:type="dxa"/>
          </w:tcPr>
          <w:p>
            <w:pPr>
              <w:tabs>
                <w:tab w:val="left" w:pos="0"/>
              </w:tabs>
              <w:spacing w:before="60" w:after="60" w:line="240" w:lineRule="auto"/>
              <w:jc w:val="right"/>
              <w:rPr>
                <w:rFonts w:hint="default" w:ascii="Cambria" w:hAnsi="Cambria" w:cs="Tahoma"/>
                <w:sz w:val="14"/>
                <w:szCs w:val="14"/>
              </w:rPr>
            </w:pPr>
            <w:r>
              <w:rPr>
                <w:rFonts w:hint="default" w:ascii="Cambria" w:hAnsi="Cambria" w:cs="Tahoma"/>
                <w:sz w:val="14"/>
                <w:szCs w:val="14"/>
              </w:rPr>
              <w:t>30.113.666.816,00</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423" w:type="dxa"/>
          </w:tcPr>
          <w:p>
            <w:pPr>
              <w:tabs>
                <w:tab w:val="left" w:pos="0"/>
              </w:tabs>
              <w:spacing w:before="60" w:after="60" w:line="240" w:lineRule="auto"/>
              <w:jc w:val="center"/>
              <w:rPr>
                <w:rFonts w:ascii="Cambria" w:hAnsi="Cambria" w:cs="Tahoma"/>
                <w:sz w:val="14"/>
                <w:szCs w:val="14"/>
              </w:rPr>
            </w:pPr>
            <w:r>
              <w:rPr>
                <w:rFonts w:ascii="Cambria" w:hAnsi="Cambria" w:cs="Tahoma"/>
                <w:sz w:val="14"/>
                <w:szCs w:val="14"/>
              </w:rPr>
              <w:t>2</w:t>
            </w:r>
          </w:p>
        </w:tc>
        <w:tc>
          <w:tcPr>
            <w:tcW w:w="1926" w:type="dxa"/>
          </w:tcPr>
          <w:p>
            <w:pPr>
              <w:tabs>
                <w:tab w:val="left" w:pos="0"/>
              </w:tabs>
              <w:spacing w:before="60" w:after="60" w:line="240" w:lineRule="auto"/>
              <w:jc w:val="left"/>
              <w:rPr>
                <w:rFonts w:ascii="Cambria" w:hAnsi="Cambria" w:cs="Tahoma"/>
                <w:sz w:val="14"/>
                <w:szCs w:val="14"/>
              </w:rPr>
            </w:pPr>
            <w:r>
              <w:rPr>
                <w:rFonts w:ascii="Cambria" w:hAnsi="Cambria" w:cs="Tahoma"/>
                <w:sz w:val="14"/>
                <w:szCs w:val="14"/>
              </w:rPr>
              <w:t>Aset Dalam Penelusuran</w:t>
            </w:r>
          </w:p>
        </w:tc>
        <w:tc>
          <w:tcPr>
            <w:tcW w:w="1557" w:type="dxa"/>
            <w:vAlign w:val="top"/>
          </w:tcPr>
          <w:p>
            <w:pPr>
              <w:tabs>
                <w:tab w:val="left" w:pos="0"/>
              </w:tabs>
              <w:spacing w:before="60" w:after="60" w:line="240" w:lineRule="auto"/>
              <w:jc w:val="right"/>
              <w:rPr>
                <w:rFonts w:ascii="Cambria" w:hAnsi="Cambria" w:cs="Tahoma"/>
                <w:sz w:val="14"/>
                <w:szCs w:val="14"/>
              </w:rPr>
            </w:pPr>
            <w:r>
              <w:rPr>
                <w:rFonts w:ascii="Cambria" w:hAnsi="Cambria" w:cs="Tahoma"/>
                <w:sz w:val="14"/>
                <w:szCs w:val="14"/>
              </w:rPr>
              <w:t>5.634,638.970,00</w:t>
            </w:r>
          </w:p>
        </w:tc>
        <w:tc>
          <w:tcPr>
            <w:tcW w:w="1523" w:type="dxa"/>
            <w:vAlign w:val="top"/>
          </w:tcPr>
          <w:p>
            <w:pPr>
              <w:tabs>
                <w:tab w:val="left" w:pos="0"/>
              </w:tabs>
              <w:spacing w:before="60" w:after="60" w:line="240" w:lineRule="auto"/>
              <w:jc w:val="right"/>
              <w:rPr>
                <w:rFonts w:ascii="Cambria" w:hAnsi="Cambria" w:cs="Tahoma"/>
                <w:sz w:val="14"/>
                <w:szCs w:val="14"/>
              </w:rPr>
            </w:pPr>
            <w:r>
              <w:rPr>
                <w:rFonts w:ascii="Cambria" w:hAnsi="Cambria" w:cs="Tahoma"/>
                <w:sz w:val="14"/>
                <w:szCs w:val="14"/>
              </w:rPr>
              <w:t>5.313.067.371,00</w:t>
            </w:r>
          </w:p>
        </w:tc>
        <w:tc>
          <w:tcPr>
            <w:tcW w:w="1523" w:type="dxa"/>
            <w:vAlign w:val="top"/>
          </w:tcPr>
          <w:p>
            <w:pPr>
              <w:tabs>
                <w:tab w:val="left" w:pos="0"/>
              </w:tabs>
              <w:spacing w:before="60" w:after="60" w:line="240" w:lineRule="auto"/>
              <w:jc w:val="right"/>
              <w:rPr>
                <w:rFonts w:ascii="Cambria" w:hAnsi="Cambria" w:cs="Tahoma"/>
                <w:sz w:val="14"/>
                <w:szCs w:val="14"/>
              </w:rPr>
            </w:pPr>
            <w:r>
              <w:rPr>
                <w:rFonts w:ascii="Cambria" w:hAnsi="Cambria" w:cs="Tahoma"/>
                <w:sz w:val="14"/>
                <w:szCs w:val="14"/>
              </w:rPr>
              <w:t>3.517.495.019,00</w:t>
            </w:r>
          </w:p>
        </w:tc>
        <w:tc>
          <w:tcPr>
            <w:tcW w:w="1554" w:type="dxa"/>
          </w:tcPr>
          <w:p>
            <w:pPr>
              <w:tabs>
                <w:tab w:val="left" w:pos="0"/>
              </w:tabs>
              <w:spacing w:before="60" w:after="60" w:line="240" w:lineRule="auto"/>
              <w:jc w:val="right"/>
              <w:rPr>
                <w:rFonts w:hint="default" w:ascii="Cambria" w:hAnsi="Cambria" w:cs="Tahoma"/>
                <w:sz w:val="14"/>
                <w:szCs w:val="14"/>
                <w:lang/>
              </w:rPr>
            </w:pPr>
            <w:r>
              <w:rPr>
                <w:rFonts w:hint="default" w:ascii="Cambria" w:hAnsi="Cambria" w:cs="Tahoma"/>
                <w:sz w:val="14"/>
                <w:szCs w:val="14"/>
                <w:lang/>
              </w:rPr>
              <w:t>2.403.750.900,00</w:t>
            </w:r>
          </w:p>
        </w:tc>
        <w:tc>
          <w:tcPr>
            <w:tcW w:w="1559" w:type="dxa"/>
          </w:tcPr>
          <w:p>
            <w:pPr>
              <w:tabs>
                <w:tab w:val="left" w:pos="0"/>
              </w:tabs>
              <w:spacing w:before="60" w:after="60" w:line="240" w:lineRule="auto"/>
              <w:jc w:val="right"/>
              <w:rPr>
                <w:rFonts w:hint="default" w:ascii="Cambria" w:hAnsi="Cambria" w:cs="Tahoma"/>
                <w:sz w:val="14"/>
                <w:szCs w:val="14"/>
              </w:rPr>
            </w:pPr>
            <w:r>
              <w:rPr>
                <w:rFonts w:hint="default" w:ascii="Cambria" w:hAnsi="Cambria" w:cs="Tahoma"/>
                <w:sz w:val="14"/>
                <w:szCs w:val="14"/>
              </w:rPr>
              <w:t>5.323.760.533,92</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423" w:type="dxa"/>
          </w:tcPr>
          <w:p>
            <w:pPr>
              <w:tabs>
                <w:tab w:val="left" w:pos="0"/>
              </w:tabs>
              <w:spacing w:before="60" w:after="60" w:line="240" w:lineRule="auto"/>
              <w:jc w:val="center"/>
              <w:rPr>
                <w:rFonts w:ascii="Cambria" w:hAnsi="Cambria" w:cs="Tahoma"/>
                <w:sz w:val="14"/>
                <w:szCs w:val="14"/>
              </w:rPr>
            </w:pPr>
            <w:r>
              <w:rPr>
                <w:rFonts w:ascii="Cambria" w:hAnsi="Cambria" w:cs="Tahoma"/>
                <w:sz w:val="14"/>
                <w:szCs w:val="14"/>
              </w:rPr>
              <w:t>3</w:t>
            </w:r>
          </w:p>
        </w:tc>
        <w:tc>
          <w:tcPr>
            <w:tcW w:w="1926" w:type="dxa"/>
          </w:tcPr>
          <w:p>
            <w:pPr>
              <w:tabs>
                <w:tab w:val="left" w:pos="0"/>
              </w:tabs>
              <w:spacing w:before="60" w:after="60" w:line="240" w:lineRule="auto"/>
              <w:jc w:val="left"/>
              <w:rPr>
                <w:rFonts w:ascii="Cambria" w:hAnsi="Cambria" w:cs="Tahoma"/>
                <w:sz w:val="14"/>
                <w:szCs w:val="14"/>
              </w:rPr>
            </w:pPr>
            <w:r>
              <w:rPr>
                <w:rFonts w:ascii="Cambria" w:hAnsi="Cambria" w:cs="Tahoma"/>
                <w:sz w:val="14"/>
                <w:szCs w:val="14"/>
              </w:rPr>
              <w:t>Aset Tidak Bermanfaat</w:t>
            </w:r>
          </w:p>
        </w:tc>
        <w:tc>
          <w:tcPr>
            <w:tcW w:w="1557" w:type="dxa"/>
            <w:vAlign w:val="top"/>
          </w:tcPr>
          <w:p>
            <w:pPr>
              <w:tabs>
                <w:tab w:val="left" w:pos="0"/>
              </w:tabs>
              <w:spacing w:before="60" w:after="60" w:line="240" w:lineRule="auto"/>
              <w:jc w:val="right"/>
              <w:rPr>
                <w:rFonts w:ascii="Cambria" w:hAnsi="Cambria" w:cs="Tahoma"/>
                <w:sz w:val="14"/>
                <w:szCs w:val="14"/>
              </w:rPr>
            </w:pPr>
            <w:r>
              <w:rPr>
                <w:rFonts w:ascii="Cambria" w:hAnsi="Cambria" w:cs="Tahoma"/>
                <w:sz w:val="14"/>
                <w:szCs w:val="14"/>
              </w:rPr>
              <w:t>4.420.313.444,00</w:t>
            </w:r>
          </w:p>
        </w:tc>
        <w:tc>
          <w:tcPr>
            <w:tcW w:w="1523" w:type="dxa"/>
            <w:vAlign w:val="top"/>
          </w:tcPr>
          <w:p>
            <w:pPr>
              <w:tabs>
                <w:tab w:val="left" w:pos="0"/>
              </w:tabs>
              <w:spacing w:before="60" w:after="60" w:line="240" w:lineRule="auto"/>
              <w:jc w:val="right"/>
              <w:rPr>
                <w:rFonts w:ascii="Cambria" w:hAnsi="Cambria" w:cs="Tahoma"/>
                <w:sz w:val="14"/>
                <w:szCs w:val="14"/>
              </w:rPr>
            </w:pPr>
            <w:r>
              <w:rPr>
                <w:rFonts w:ascii="Cambria" w:hAnsi="Cambria" w:cs="Tahoma"/>
                <w:sz w:val="14"/>
                <w:szCs w:val="14"/>
              </w:rPr>
              <w:t>11.610.486.085,05</w:t>
            </w:r>
          </w:p>
        </w:tc>
        <w:tc>
          <w:tcPr>
            <w:tcW w:w="1523" w:type="dxa"/>
            <w:vAlign w:val="top"/>
          </w:tcPr>
          <w:p>
            <w:pPr>
              <w:tabs>
                <w:tab w:val="left" w:pos="0"/>
              </w:tabs>
              <w:spacing w:before="60" w:after="60" w:line="240" w:lineRule="auto"/>
              <w:jc w:val="right"/>
              <w:rPr>
                <w:rFonts w:ascii="Cambria" w:hAnsi="Cambria" w:cs="Tahoma"/>
                <w:sz w:val="14"/>
                <w:szCs w:val="14"/>
              </w:rPr>
            </w:pPr>
            <w:r>
              <w:rPr>
                <w:rFonts w:ascii="Cambria" w:hAnsi="Cambria" w:cs="Tahoma"/>
                <w:sz w:val="14"/>
                <w:szCs w:val="14"/>
              </w:rPr>
              <w:t>4.954.753.983,00</w:t>
            </w:r>
          </w:p>
        </w:tc>
        <w:tc>
          <w:tcPr>
            <w:tcW w:w="1554" w:type="dxa"/>
            <w:vAlign w:val="top"/>
          </w:tcPr>
          <w:p>
            <w:pPr>
              <w:tabs>
                <w:tab w:val="left" w:pos="0"/>
              </w:tabs>
              <w:spacing w:before="60" w:after="60" w:line="240" w:lineRule="auto"/>
              <w:jc w:val="right"/>
              <w:rPr>
                <w:rFonts w:ascii="Cambria" w:hAnsi="Cambria" w:cs="Tahoma"/>
                <w:sz w:val="14"/>
                <w:szCs w:val="14"/>
              </w:rPr>
            </w:pPr>
            <w:r>
              <w:rPr>
                <w:rFonts w:hint="default" w:ascii="Cambria" w:hAnsi="Cambria" w:cs="Tahoma"/>
                <w:sz w:val="14"/>
                <w:szCs w:val="14"/>
              </w:rPr>
              <w:t>14.072.806.386,41</w:t>
            </w:r>
          </w:p>
        </w:tc>
        <w:tc>
          <w:tcPr>
            <w:tcW w:w="1559" w:type="dxa"/>
          </w:tcPr>
          <w:p>
            <w:pPr>
              <w:tabs>
                <w:tab w:val="left" w:pos="0"/>
              </w:tabs>
              <w:spacing w:before="60" w:after="60" w:line="240" w:lineRule="auto"/>
              <w:jc w:val="right"/>
              <w:rPr>
                <w:rFonts w:hint="default" w:ascii="Cambria" w:hAnsi="Cambria" w:cs="Tahoma"/>
                <w:sz w:val="14"/>
                <w:szCs w:val="14"/>
              </w:rPr>
            </w:pPr>
            <w:r>
              <w:rPr>
                <w:rFonts w:hint="default" w:ascii="Cambria" w:hAnsi="Cambria" w:cs="Tahoma"/>
                <w:sz w:val="14"/>
                <w:szCs w:val="14"/>
              </w:rPr>
              <w:t>108.030.484.292,58</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423" w:type="dxa"/>
          </w:tcPr>
          <w:p>
            <w:pPr>
              <w:tabs>
                <w:tab w:val="left" w:pos="0"/>
              </w:tabs>
              <w:spacing w:before="60" w:after="60" w:line="240" w:lineRule="auto"/>
              <w:jc w:val="center"/>
              <w:rPr>
                <w:rFonts w:ascii="Cambria" w:hAnsi="Cambria" w:cs="Tahoma"/>
                <w:sz w:val="14"/>
                <w:szCs w:val="14"/>
              </w:rPr>
            </w:pPr>
            <w:r>
              <w:rPr>
                <w:rFonts w:ascii="Cambria" w:hAnsi="Cambria" w:cs="Tahoma"/>
                <w:sz w:val="14"/>
                <w:szCs w:val="14"/>
              </w:rPr>
              <w:t>4</w:t>
            </w:r>
          </w:p>
        </w:tc>
        <w:tc>
          <w:tcPr>
            <w:tcW w:w="1926" w:type="dxa"/>
          </w:tcPr>
          <w:p>
            <w:pPr>
              <w:tabs>
                <w:tab w:val="left" w:pos="0"/>
              </w:tabs>
              <w:spacing w:before="60" w:after="60" w:line="240" w:lineRule="auto"/>
              <w:jc w:val="both"/>
              <w:rPr>
                <w:rFonts w:ascii="Cambria" w:hAnsi="Cambria" w:cs="Tahoma"/>
                <w:sz w:val="14"/>
                <w:szCs w:val="14"/>
              </w:rPr>
            </w:pPr>
            <w:r>
              <w:rPr>
                <w:rFonts w:ascii="Cambria" w:hAnsi="Cambria" w:cs="Tahoma"/>
                <w:sz w:val="14"/>
                <w:szCs w:val="14"/>
              </w:rPr>
              <w:t>Aset Dipakai Pihak Lain</w:t>
            </w:r>
          </w:p>
        </w:tc>
        <w:tc>
          <w:tcPr>
            <w:tcW w:w="1557" w:type="dxa"/>
            <w:vAlign w:val="top"/>
          </w:tcPr>
          <w:p>
            <w:pPr>
              <w:tabs>
                <w:tab w:val="left" w:pos="0"/>
              </w:tabs>
              <w:spacing w:before="60" w:after="60" w:line="240" w:lineRule="auto"/>
              <w:jc w:val="right"/>
              <w:rPr>
                <w:rFonts w:ascii="Cambria" w:hAnsi="Cambria" w:cs="Tahoma"/>
                <w:sz w:val="14"/>
                <w:szCs w:val="14"/>
              </w:rPr>
            </w:pPr>
            <w:r>
              <w:rPr>
                <w:rFonts w:ascii="Cambria" w:hAnsi="Cambria" w:cs="Tahoma"/>
                <w:sz w:val="14"/>
                <w:szCs w:val="14"/>
              </w:rPr>
              <w:t>279.181.963.089,58</w:t>
            </w:r>
          </w:p>
        </w:tc>
        <w:tc>
          <w:tcPr>
            <w:tcW w:w="1523" w:type="dxa"/>
            <w:vAlign w:val="top"/>
          </w:tcPr>
          <w:p>
            <w:pPr>
              <w:tabs>
                <w:tab w:val="left" w:pos="0"/>
              </w:tabs>
              <w:spacing w:before="60" w:after="60" w:line="240" w:lineRule="auto"/>
              <w:jc w:val="right"/>
              <w:rPr>
                <w:rFonts w:ascii="Cambria" w:hAnsi="Cambria" w:cs="Tahoma"/>
                <w:sz w:val="14"/>
                <w:szCs w:val="14"/>
              </w:rPr>
            </w:pPr>
            <w:r>
              <w:rPr>
                <w:rFonts w:ascii="Cambria" w:hAnsi="Cambria" w:cs="Tahoma"/>
                <w:sz w:val="14"/>
                <w:szCs w:val="14"/>
              </w:rPr>
              <w:t>8.945.218.310,72</w:t>
            </w:r>
          </w:p>
        </w:tc>
        <w:tc>
          <w:tcPr>
            <w:tcW w:w="1523" w:type="dxa"/>
            <w:vAlign w:val="top"/>
          </w:tcPr>
          <w:p>
            <w:pPr>
              <w:tabs>
                <w:tab w:val="left" w:pos="0"/>
              </w:tabs>
              <w:spacing w:before="60" w:after="60" w:line="240" w:lineRule="auto"/>
              <w:jc w:val="right"/>
              <w:rPr>
                <w:rFonts w:ascii="Cambria" w:hAnsi="Cambria" w:cs="Tahoma"/>
                <w:sz w:val="14"/>
                <w:szCs w:val="14"/>
              </w:rPr>
            </w:pPr>
            <w:r>
              <w:rPr>
                <w:rFonts w:ascii="Cambria" w:hAnsi="Cambria" w:cs="Tahoma"/>
                <w:sz w:val="14"/>
                <w:szCs w:val="14"/>
              </w:rPr>
              <w:t>8.889.917.810,72</w:t>
            </w:r>
          </w:p>
        </w:tc>
        <w:tc>
          <w:tcPr>
            <w:tcW w:w="1554" w:type="dxa"/>
          </w:tcPr>
          <w:p>
            <w:pPr>
              <w:tabs>
                <w:tab w:val="left" w:pos="0"/>
              </w:tabs>
              <w:spacing w:before="60" w:after="60" w:line="240" w:lineRule="auto"/>
              <w:jc w:val="right"/>
              <w:rPr>
                <w:rFonts w:hint="default" w:ascii="Cambria" w:hAnsi="Cambria" w:cs="Tahoma"/>
                <w:sz w:val="14"/>
                <w:szCs w:val="14"/>
                <w:lang/>
              </w:rPr>
            </w:pPr>
            <w:r>
              <w:rPr>
                <w:rFonts w:hint="default" w:ascii="Cambria" w:hAnsi="Cambria" w:cs="Tahoma"/>
                <w:sz w:val="14"/>
                <w:szCs w:val="14"/>
                <w:lang/>
              </w:rPr>
              <w:t>3.368.885.550,00</w:t>
            </w:r>
          </w:p>
        </w:tc>
        <w:tc>
          <w:tcPr>
            <w:tcW w:w="1559" w:type="dxa"/>
          </w:tcPr>
          <w:p>
            <w:pPr>
              <w:tabs>
                <w:tab w:val="left" w:pos="0"/>
              </w:tabs>
              <w:spacing w:before="60" w:after="60" w:line="240" w:lineRule="auto"/>
              <w:jc w:val="right"/>
              <w:rPr>
                <w:rFonts w:hint="default" w:ascii="Cambria" w:hAnsi="Cambria" w:cs="Tahoma"/>
                <w:sz w:val="14"/>
                <w:szCs w:val="14"/>
              </w:rPr>
            </w:pPr>
            <w:r>
              <w:rPr>
                <w:rFonts w:hint="default" w:ascii="Cambria" w:hAnsi="Cambria" w:cs="Tahoma"/>
                <w:sz w:val="14"/>
                <w:szCs w:val="14"/>
              </w:rPr>
              <w:t>3.684.376.777,21</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423" w:type="dxa"/>
          </w:tcPr>
          <w:p>
            <w:pPr>
              <w:tabs>
                <w:tab w:val="left" w:pos="0"/>
              </w:tabs>
              <w:spacing w:before="60" w:after="60" w:line="240" w:lineRule="auto"/>
              <w:jc w:val="center"/>
              <w:rPr>
                <w:rFonts w:ascii="Cambria" w:hAnsi="Cambria" w:cs="Tahoma"/>
                <w:sz w:val="14"/>
                <w:szCs w:val="14"/>
              </w:rPr>
            </w:pPr>
          </w:p>
        </w:tc>
        <w:tc>
          <w:tcPr>
            <w:tcW w:w="1926" w:type="dxa"/>
          </w:tcPr>
          <w:p>
            <w:pPr>
              <w:tabs>
                <w:tab w:val="left" w:pos="0"/>
              </w:tabs>
              <w:spacing w:before="60" w:after="60" w:line="240" w:lineRule="auto"/>
              <w:jc w:val="both"/>
              <w:rPr>
                <w:rFonts w:ascii="Cambria" w:hAnsi="Cambria" w:cs="Tahoma"/>
                <w:sz w:val="14"/>
                <w:szCs w:val="14"/>
              </w:rPr>
            </w:pPr>
            <w:r>
              <w:rPr>
                <w:rFonts w:ascii="Cambria" w:hAnsi="Cambria" w:cs="Tahoma"/>
                <w:sz w:val="14"/>
                <w:szCs w:val="14"/>
              </w:rPr>
              <w:t>Jumlah Aset Lainnya</w:t>
            </w:r>
          </w:p>
        </w:tc>
        <w:tc>
          <w:tcPr>
            <w:tcW w:w="1557" w:type="dxa"/>
            <w:vAlign w:val="top"/>
          </w:tcPr>
          <w:p>
            <w:pPr>
              <w:tabs>
                <w:tab w:val="left" w:pos="0"/>
              </w:tabs>
              <w:spacing w:before="60" w:after="60" w:line="240" w:lineRule="auto"/>
              <w:jc w:val="right"/>
              <w:rPr>
                <w:rFonts w:ascii="Cambria" w:hAnsi="Cambria" w:cs="Tahoma"/>
                <w:sz w:val="14"/>
                <w:szCs w:val="14"/>
              </w:rPr>
            </w:pPr>
            <w:r>
              <w:rPr>
                <w:rFonts w:ascii="Cambria" w:hAnsi="Cambria" w:cs="Tahoma"/>
                <w:sz w:val="14"/>
                <w:szCs w:val="14"/>
              </w:rPr>
              <w:t>308.418.015.758,61</w:t>
            </w:r>
          </w:p>
        </w:tc>
        <w:tc>
          <w:tcPr>
            <w:tcW w:w="1523" w:type="dxa"/>
            <w:vAlign w:val="top"/>
          </w:tcPr>
          <w:p>
            <w:pPr>
              <w:tabs>
                <w:tab w:val="left" w:pos="0"/>
              </w:tabs>
              <w:spacing w:before="60" w:after="60" w:line="240" w:lineRule="auto"/>
              <w:jc w:val="right"/>
              <w:rPr>
                <w:rFonts w:ascii="Cambria" w:hAnsi="Cambria" w:cs="Tahoma"/>
                <w:sz w:val="14"/>
                <w:szCs w:val="14"/>
              </w:rPr>
            </w:pPr>
            <w:r>
              <w:rPr>
                <w:rFonts w:ascii="Cambria" w:hAnsi="Cambria" w:cs="Tahoma"/>
                <w:sz w:val="14"/>
                <w:szCs w:val="14"/>
              </w:rPr>
              <w:t>48.967.611.376,80</w:t>
            </w:r>
          </w:p>
        </w:tc>
        <w:tc>
          <w:tcPr>
            <w:tcW w:w="1523" w:type="dxa"/>
            <w:vAlign w:val="top"/>
          </w:tcPr>
          <w:p>
            <w:pPr>
              <w:tabs>
                <w:tab w:val="left" w:pos="0"/>
              </w:tabs>
              <w:spacing w:before="60" w:after="60" w:line="240" w:lineRule="auto"/>
              <w:jc w:val="right"/>
              <w:rPr>
                <w:rFonts w:ascii="Cambria" w:hAnsi="Cambria" w:cs="Tahoma"/>
                <w:sz w:val="14"/>
                <w:szCs w:val="14"/>
              </w:rPr>
            </w:pPr>
            <w:r>
              <w:rPr>
                <w:rFonts w:ascii="Cambria" w:hAnsi="Cambria" w:cs="Tahoma"/>
                <w:sz w:val="14"/>
                <w:szCs w:val="14"/>
              </w:rPr>
              <w:t>44.869.532.927.75</w:t>
            </w:r>
          </w:p>
        </w:tc>
        <w:tc>
          <w:tcPr>
            <w:tcW w:w="1554" w:type="dxa"/>
          </w:tcPr>
          <w:p>
            <w:pPr>
              <w:tabs>
                <w:tab w:val="left" w:pos="0"/>
              </w:tabs>
              <w:spacing w:before="60" w:after="60" w:line="240" w:lineRule="auto"/>
              <w:jc w:val="right"/>
              <w:rPr>
                <w:rFonts w:hint="default" w:ascii="Cambria" w:hAnsi="Cambria" w:cs="Tahoma"/>
                <w:sz w:val="14"/>
                <w:szCs w:val="14"/>
                <w:lang/>
              </w:rPr>
            </w:pPr>
            <w:r>
              <w:rPr>
                <w:rFonts w:hint="default" w:ascii="Cambria" w:hAnsi="Cambria" w:cs="Tahoma"/>
                <w:sz w:val="14"/>
                <w:szCs w:val="14"/>
                <w:lang/>
              </w:rPr>
              <w:t>49.758.345.792,44</w:t>
            </w:r>
          </w:p>
        </w:tc>
        <w:tc>
          <w:tcPr>
            <w:tcW w:w="1559" w:type="dxa"/>
          </w:tcPr>
          <w:p>
            <w:pPr>
              <w:tabs>
                <w:tab w:val="left" w:pos="0"/>
              </w:tabs>
              <w:spacing w:before="60" w:after="60" w:line="240" w:lineRule="auto"/>
              <w:jc w:val="right"/>
              <w:rPr>
                <w:rFonts w:hint="default" w:ascii="Cambria" w:hAnsi="Cambria" w:cs="Tahoma"/>
                <w:sz w:val="14"/>
                <w:szCs w:val="14"/>
              </w:rPr>
            </w:pPr>
            <w:r>
              <w:rPr>
                <w:rFonts w:hint="default" w:ascii="Cambria" w:hAnsi="Cambria" w:cs="Tahoma"/>
                <w:sz w:val="14"/>
                <w:szCs w:val="14"/>
              </w:rPr>
              <w:t>147.152.288.419,71</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2349" w:type="dxa"/>
            <w:gridSpan w:val="2"/>
          </w:tcPr>
          <w:p>
            <w:pPr>
              <w:tabs>
                <w:tab w:val="left" w:pos="0"/>
              </w:tabs>
              <w:spacing w:before="60" w:after="60" w:line="240" w:lineRule="auto"/>
              <w:jc w:val="both"/>
              <w:rPr>
                <w:rFonts w:ascii="Cambria" w:hAnsi="Cambria" w:cs="Tahoma"/>
                <w:sz w:val="14"/>
                <w:szCs w:val="14"/>
              </w:rPr>
            </w:pPr>
            <w:r>
              <w:rPr>
                <w:rFonts w:ascii="Cambria" w:hAnsi="Cambria" w:cs="Tahoma"/>
                <w:sz w:val="14"/>
                <w:szCs w:val="14"/>
              </w:rPr>
              <w:t>Jumlah Aset Tetap dan Aset Lainnya</w:t>
            </w:r>
          </w:p>
        </w:tc>
        <w:tc>
          <w:tcPr>
            <w:tcW w:w="1557" w:type="dxa"/>
            <w:vAlign w:val="top"/>
          </w:tcPr>
          <w:p>
            <w:pPr>
              <w:tabs>
                <w:tab w:val="left" w:pos="0"/>
              </w:tabs>
              <w:spacing w:before="60" w:after="60" w:line="240" w:lineRule="auto"/>
              <w:jc w:val="right"/>
              <w:rPr>
                <w:rFonts w:ascii="Cambria" w:hAnsi="Cambria" w:cs="Tahoma"/>
                <w:sz w:val="14"/>
                <w:szCs w:val="14"/>
              </w:rPr>
            </w:pPr>
            <w:r>
              <w:rPr>
                <w:rFonts w:ascii="Cambria" w:hAnsi="Cambria" w:cs="Tahoma"/>
                <w:sz w:val="14"/>
                <w:szCs w:val="14"/>
              </w:rPr>
              <w:t>8.303.648.256.104,90</w:t>
            </w:r>
          </w:p>
        </w:tc>
        <w:tc>
          <w:tcPr>
            <w:tcW w:w="1523" w:type="dxa"/>
            <w:vAlign w:val="top"/>
          </w:tcPr>
          <w:p>
            <w:pPr>
              <w:tabs>
                <w:tab w:val="left" w:pos="0"/>
              </w:tabs>
              <w:spacing w:before="60" w:after="60" w:line="240" w:lineRule="auto"/>
              <w:jc w:val="right"/>
              <w:rPr>
                <w:rFonts w:ascii="Cambria" w:hAnsi="Cambria" w:cs="Tahoma"/>
                <w:sz w:val="14"/>
                <w:szCs w:val="14"/>
              </w:rPr>
            </w:pPr>
            <w:r>
              <w:rPr>
                <w:rFonts w:ascii="Cambria" w:hAnsi="Cambria" w:cs="Tahoma"/>
                <w:sz w:val="14"/>
                <w:szCs w:val="14"/>
              </w:rPr>
              <w:t>9.033.474.272.964,80</w:t>
            </w:r>
          </w:p>
        </w:tc>
        <w:tc>
          <w:tcPr>
            <w:tcW w:w="1523" w:type="dxa"/>
            <w:vAlign w:val="top"/>
          </w:tcPr>
          <w:p>
            <w:pPr>
              <w:tabs>
                <w:tab w:val="left" w:pos="0"/>
              </w:tabs>
              <w:spacing w:before="60" w:after="60" w:line="240" w:lineRule="auto"/>
              <w:jc w:val="right"/>
              <w:rPr>
                <w:rFonts w:ascii="Cambria" w:hAnsi="Cambria" w:cs="Tahoma"/>
                <w:sz w:val="14"/>
                <w:szCs w:val="14"/>
              </w:rPr>
            </w:pPr>
            <w:r>
              <w:rPr>
                <w:rFonts w:ascii="Cambria" w:hAnsi="Cambria" w:cs="Tahoma"/>
                <w:sz w:val="14"/>
                <w:szCs w:val="14"/>
              </w:rPr>
              <w:t>9.993.758.607.574,96</w:t>
            </w:r>
          </w:p>
        </w:tc>
        <w:tc>
          <w:tcPr>
            <w:tcW w:w="1554" w:type="dxa"/>
          </w:tcPr>
          <w:p>
            <w:pPr>
              <w:tabs>
                <w:tab w:val="left" w:pos="-220"/>
              </w:tabs>
              <w:spacing w:before="60" w:after="60" w:line="240" w:lineRule="auto"/>
              <w:ind w:left="-220" w:leftChars="-100" w:firstLine="0" w:firstLineChars="0"/>
              <w:jc w:val="right"/>
              <w:rPr>
                <w:rFonts w:hint="default" w:ascii="Cambria" w:hAnsi="Cambria" w:cs="Tahoma"/>
                <w:sz w:val="14"/>
                <w:szCs w:val="14"/>
                <w:lang/>
              </w:rPr>
            </w:pPr>
            <w:r>
              <w:rPr>
                <w:rFonts w:hint="default" w:ascii="Cambria" w:hAnsi="Cambria" w:cs="Tahoma"/>
                <w:sz w:val="14"/>
                <w:szCs w:val="14"/>
                <w:lang/>
              </w:rPr>
              <w:t>10.748.630.897.040,14</w:t>
            </w:r>
          </w:p>
        </w:tc>
        <w:tc>
          <w:tcPr>
            <w:tcW w:w="1559" w:type="dxa"/>
          </w:tcPr>
          <w:p>
            <w:pPr>
              <w:spacing w:before="60" w:after="60" w:line="240" w:lineRule="auto"/>
              <w:ind w:left="-220" w:leftChars="-100" w:firstLine="0" w:firstLineChars="0"/>
              <w:jc w:val="right"/>
              <w:rPr>
                <w:rFonts w:hint="default" w:ascii="Cambria" w:hAnsi="Cambria" w:cs="Tahoma"/>
                <w:sz w:val="14"/>
                <w:szCs w:val="14"/>
              </w:rPr>
            </w:pPr>
            <w:r>
              <w:rPr>
                <w:rFonts w:hint="default" w:ascii="Cambria" w:hAnsi="Cambria" w:cs="Tahoma"/>
                <w:sz w:val="14"/>
                <w:szCs w:val="14"/>
              </w:rPr>
              <w:t>13.742.539.369.042,30</w:t>
            </w:r>
          </w:p>
        </w:tc>
      </w:tr>
    </w:tbl>
    <w:p>
      <w:pPr>
        <w:tabs>
          <w:tab w:val="left" w:pos="0"/>
        </w:tabs>
        <w:spacing w:after="0" w:line="240" w:lineRule="auto"/>
        <w:jc w:val="center"/>
        <w:rPr>
          <w:rFonts w:ascii="Cambria" w:hAnsi="Cambria" w:cs="Tahoma"/>
          <w:b/>
        </w:rPr>
      </w:pPr>
    </w:p>
    <w:p>
      <w:pPr>
        <w:spacing w:after="0" w:line="276" w:lineRule="auto"/>
        <w:ind w:left="-900"/>
        <w:jc w:val="center"/>
        <w:rPr>
          <w:rFonts w:cs="Tahoma"/>
          <w:sz w:val="24"/>
        </w:rPr>
      </w:pPr>
    </w:p>
    <w:p>
      <w:pPr>
        <w:tabs>
          <w:tab w:val="left" w:pos="0"/>
        </w:tabs>
        <w:spacing w:line="276" w:lineRule="auto"/>
        <w:jc w:val="both"/>
        <w:rPr>
          <w:rFonts w:cs="Tahoma"/>
          <w:sz w:val="24"/>
        </w:rPr>
      </w:pPr>
    </w:p>
    <w:p>
      <w:pPr>
        <w:tabs>
          <w:tab w:val="left" w:pos="0"/>
        </w:tabs>
        <w:spacing w:line="276" w:lineRule="auto"/>
        <w:jc w:val="both"/>
        <w:rPr>
          <w:rFonts w:cs="Tahoma"/>
          <w:sz w:val="24"/>
        </w:rPr>
      </w:pPr>
    </w:p>
    <w:p>
      <w:pPr>
        <w:tabs>
          <w:tab w:val="left" w:pos="0"/>
        </w:tabs>
        <w:spacing w:line="276" w:lineRule="auto"/>
        <w:jc w:val="both"/>
        <w:rPr>
          <w:rFonts w:cs="Tahoma"/>
          <w:sz w:val="24"/>
        </w:rPr>
      </w:pPr>
    </w:p>
    <w:p>
      <w:pPr>
        <w:tabs>
          <w:tab w:val="left" w:pos="0"/>
        </w:tabs>
        <w:spacing w:line="276" w:lineRule="auto"/>
        <w:jc w:val="both"/>
        <w:rPr>
          <w:rFonts w:cs="Tahoma"/>
          <w:sz w:val="24"/>
        </w:rPr>
      </w:pPr>
    </w:p>
    <w:p>
      <w:pPr>
        <w:tabs>
          <w:tab w:val="left" w:pos="0"/>
        </w:tabs>
        <w:spacing w:line="276" w:lineRule="auto"/>
        <w:jc w:val="center"/>
        <w:rPr>
          <w:rFonts w:ascii="Cambria" w:hAnsi="Cambria" w:cs="Tahoma"/>
        </w:rPr>
      </w:pPr>
      <w:r>
        <w:rPr>
          <w:rFonts w:ascii="Cambria" w:hAnsi="Cambria" w:cs="Tahoma"/>
        </w:rPr>
        <w:t>Capaian target untuk indikator kedua ini dapat digambarkan dengan grafik berikut ini :</w:t>
      </w:r>
    </w:p>
    <w:p>
      <w:pPr>
        <w:tabs>
          <w:tab w:val="left" w:pos="0"/>
        </w:tabs>
        <w:spacing w:after="0" w:line="240" w:lineRule="auto"/>
        <w:jc w:val="center"/>
        <w:rPr>
          <w:rFonts w:ascii="Cambria" w:hAnsi="Cambria" w:cs="Tahoma"/>
          <w:b/>
        </w:rPr>
      </w:pPr>
      <w:r>
        <w:rPr>
          <w:rFonts w:ascii="Cambria" w:hAnsi="Cambria" w:cs="Tahoma"/>
          <w:b/>
        </w:rPr>
        <w:t>Grafik 2.4</w:t>
      </w:r>
    </w:p>
    <w:p>
      <w:pPr>
        <w:tabs>
          <w:tab w:val="left" w:pos="0"/>
        </w:tabs>
        <w:spacing w:after="0" w:line="240" w:lineRule="auto"/>
        <w:jc w:val="center"/>
        <w:rPr>
          <w:rFonts w:ascii="Cambria" w:hAnsi="Cambria" w:cs="Tahoma"/>
          <w:b/>
        </w:rPr>
      </w:pPr>
      <w:r>
        <w:rPr>
          <w:rFonts w:ascii="Cambria" w:hAnsi="Cambria" w:cs="Tahoma"/>
          <w:b/>
        </w:rPr>
        <w:t xml:space="preserve">Indikator : Kesesuaian Totalitas Data Aset SKPD </w:t>
      </w:r>
    </w:p>
    <w:p>
      <w:pPr>
        <w:tabs>
          <w:tab w:val="left" w:pos="0"/>
        </w:tabs>
        <w:spacing w:after="0" w:line="240" w:lineRule="auto"/>
        <w:jc w:val="center"/>
        <w:rPr>
          <w:rFonts w:ascii="Cambria" w:hAnsi="Cambria" w:cs="Tahoma"/>
          <w:b/>
        </w:rPr>
      </w:pPr>
      <w:r>
        <w:rPr>
          <w:rFonts w:ascii="Cambria" w:hAnsi="Cambria" w:cs="Tahoma"/>
          <w:b/>
        </w:rPr>
        <w:t>dengan Data Aset Daerah</w:t>
      </w:r>
    </w:p>
    <w:p>
      <w:pPr>
        <w:tabs>
          <w:tab w:val="left" w:pos="0"/>
        </w:tabs>
        <w:spacing w:after="0" w:line="240" w:lineRule="auto"/>
        <w:jc w:val="center"/>
        <w:rPr>
          <w:rFonts w:ascii="Cambria" w:hAnsi="Cambria" w:cs="Tahoma"/>
          <w:b/>
        </w:rPr>
      </w:pPr>
    </w:p>
    <w:p>
      <w:pPr>
        <w:keepNext/>
        <w:tabs>
          <w:tab w:val="left" w:pos="0"/>
        </w:tabs>
        <w:spacing w:line="276" w:lineRule="auto"/>
        <w:jc w:val="center"/>
      </w:pPr>
      <w:r>
        <w:rPr>
          <w:rFonts w:cs="Tahoma"/>
          <w:sz w:val="24"/>
          <w:lang w:eastAsia="id-ID"/>
        </w:rPr>
        <w:drawing>
          <wp:inline distT="0" distB="0" distL="0" distR="0">
            <wp:extent cx="4072255" cy="1796415"/>
            <wp:effectExtent l="0" t="0" r="4445" b="13335"/>
            <wp:docPr id="27" name="Chart 27"/>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pPr>
        <w:tabs>
          <w:tab w:val="left" w:pos="720"/>
        </w:tabs>
        <w:spacing w:after="120" w:line="276" w:lineRule="auto"/>
        <w:ind w:left="720" w:hanging="720"/>
        <w:jc w:val="both"/>
        <w:rPr>
          <w:rFonts w:ascii="Cambria" w:hAnsi="Cambria" w:cs="Tahoma"/>
          <w:b/>
          <w:i/>
        </w:rPr>
      </w:pPr>
      <w:r>
        <w:rPr>
          <w:rFonts w:ascii="Cambria" w:hAnsi="Cambria" w:cs="Tahoma"/>
          <w:b/>
          <w:i/>
        </w:rPr>
        <w:t>2.3.3</w:t>
      </w:r>
      <w:r>
        <w:rPr>
          <w:rFonts w:ascii="Cambria" w:hAnsi="Cambria" w:cs="Tahoma"/>
          <w:b/>
          <w:i/>
        </w:rPr>
        <w:tab/>
      </w:r>
      <w:r>
        <w:rPr>
          <w:rFonts w:ascii="Cambria" w:hAnsi="Cambria" w:cs="Tahoma"/>
          <w:b/>
          <w:i/>
        </w:rPr>
        <w:t>Indikator Persentase Jumlah Tanah Pemerintah Prov. Sumatera Barat yang Bersertifikat</w:t>
      </w:r>
      <w:r>
        <w:rPr>
          <w:rFonts w:ascii="Cambria" w:hAnsi="Cambria" w:cs="Tahoma"/>
          <w:b/>
          <w:i/>
        </w:rPr>
        <w:tab/>
      </w:r>
    </w:p>
    <w:p>
      <w:pPr>
        <w:tabs>
          <w:tab w:val="left" w:pos="0"/>
        </w:tabs>
        <w:spacing w:line="276" w:lineRule="auto"/>
        <w:jc w:val="both"/>
        <w:rPr>
          <w:rFonts w:ascii="Cambria" w:hAnsi="Cambria" w:cs="Tahoma"/>
        </w:rPr>
      </w:pPr>
      <w:r>
        <w:rPr>
          <w:rFonts w:ascii="Cambria" w:hAnsi="Cambria" w:cs="Tahoma"/>
        </w:rPr>
        <w:tab/>
      </w:r>
      <w:r>
        <w:rPr>
          <w:rFonts w:ascii="Cambria" w:hAnsi="Cambria" w:cs="Tahoma"/>
        </w:rPr>
        <w:t>Salah satu unsur Aset Tetap yang dimiliki Pemerintah Prov. Sumatera Barat adalah Tanah atau dalam pencatatan aset disebut Kartu Inventaris Barang (KIB) A. Per kondisi 31 Desember 2015, jumlah Tanah yang tercatat dalam Neraca Aset Pemprov. Sumbar adalah 420 persil. Akan tetapi sebagian besar belum memiliki sertifikat. Hal ini tentu saja menjadi permasalahan dalam upaya pencapaian administrasi aset yang baik. Oleh karena itu, pensertifikatan Tanah dijadikan indikator target kinerja setiap tahunnya agar progres penyelesaiannya dapat terlihat. Berikut capaian indikator persentase jumlah tanah Pemprov. Sumbar yang bersertifikat :</w:t>
      </w:r>
    </w:p>
    <w:p>
      <w:pPr>
        <w:tabs>
          <w:tab w:val="left" w:pos="0"/>
        </w:tabs>
        <w:spacing w:after="0" w:line="240" w:lineRule="auto"/>
        <w:jc w:val="center"/>
        <w:rPr>
          <w:rFonts w:ascii="Cambria" w:hAnsi="Cambria" w:cs="Tahoma"/>
          <w:b/>
        </w:rPr>
      </w:pPr>
      <w:r>
        <w:rPr>
          <w:rFonts w:ascii="Cambria" w:hAnsi="Cambria" w:cs="Tahoma"/>
          <w:b/>
        </w:rPr>
        <w:t>Grafik 2.5</w:t>
      </w:r>
    </w:p>
    <w:p>
      <w:pPr>
        <w:tabs>
          <w:tab w:val="left" w:pos="0"/>
        </w:tabs>
        <w:spacing w:after="0" w:line="240" w:lineRule="auto"/>
        <w:jc w:val="center"/>
        <w:rPr>
          <w:rFonts w:ascii="Cambria" w:hAnsi="Cambria" w:cs="Tahoma"/>
          <w:b/>
        </w:rPr>
      </w:pPr>
      <w:r>
        <w:rPr>
          <w:rFonts w:ascii="Cambria" w:hAnsi="Cambria" w:cs="Tahoma"/>
          <w:b/>
        </w:rPr>
        <w:t xml:space="preserve">Indikator : Persentase Jumlah Tanah Pemprov. Sumbar </w:t>
      </w:r>
    </w:p>
    <w:p>
      <w:pPr>
        <w:tabs>
          <w:tab w:val="left" w:pos="0"/>
        </w:tabs>
        <w:spacing w:after="0" w:line="240" w:lineRule="auto"/>
        <w:jc w:val="center"/>
        <w:rPr>
          <w:rFonts w:ascii="Cambria" w:hAnsi="Cambria" w:cs="Tahoma"/>
          <w:b/>
        </w:rPr>
      </w:pPr>
      <w:r>
        <w:rPr>
          <w:rFonts w:ascii="Cambria" w:hAnsi="Cambria" w:cs="Tahoma"/>
          <w:b/>
        </w:rPr>
        <w:t>yang Bersertifikat</w:t>
      </w:r>
    </w:p>
    <w:p>
      <w:pPr>
        <w:tabs>
          <w:tab w:val="left" w:pos="0"/>
        </w:tabs>
        <w:spacing w:after="0" w:line="276" w:lineRule="auto"/>
        <w:jc w:val="center"/>
        <w:rPr>
          <w:rFonts w:cs="Tahoma"/>
          <w:b/>
          <w:sz w:val="24"/>
        </w:rPr>
      </w:pPr>
    </w:p>
    <w:p>
      <w:pPr>
        <w:keepNext/>
        <w:tabs>
          <w:tab w:val="left" w:pos="0"/>
        </w:tabs>
        <w:spacing w:line="276" w:lineRule="auto"/>
        <w:jc w:val="both"/>
        <w:rPr>
          <w:rFonts w:ascii="Cambria" w:hAnsi="Cambria" w:cs="Tahoma"/>
        </w:rPr>
      </w:pPr>
      <w:r>
        <w:rPr>
          <w:rFonts w:cs="Tahoma"/>
          <w:sz w:val="24"/>
          <w:lang w:eastAsia="id-ID"/>
        </w:rPr>
        <w:drawing>
          <wp:anchor distT="0" distB="0" distL="114300" distR="114300" simplePos="0" relativeHeight="251784192" behindDoc="0" locked="0" layoutInCell="1" allowOverlap="1">
            <wp:simplePos x="0" y="0"/>
            <wp:positionH relativeFrom="column">
              <wp:posOffset>843915</wp:posOffset>
            </wp:positionH>
            <wp:positionV relativeFrom="paragraph">
              <wp:posOffset>15240</wp:posOffset>
            </wp:positionV>
            <wp:extent cx="3944620" cy="1849755"/>
            <wp:effectExtent l="0" t="0" r="17780" b="17145"/>
            <wp:wrapSquare wrapText="bothSides"/>
            <wp:docPr id="28" name="Chart 28"/>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anchor>
        </w:drawing>
      </w:r>
      <w:r>
        <w:rPr/>
        <w:br w:type="textWrapping" w:clear="all"/>
      </w:r>
    </w:p>
    <w:p>
      <w:pPr>
        <w:keepNext/>
        <w:tabs>
          <w:tab w:val="left" w:pos="0"/>
        </w:tabs>
        <w:spacing w:line="276" w:lineRule="auto"/>
        <w:ind w:firstLine="709"/>
        <w:jc w:val="both"/>
        <w:rPr>
          <w:rFonts w:ascii="Cambria" w:hAnsi="Cambria" w:cs="Tahoma"/>
        </w:rPr>
      </w:pPr>
      <w:r>
        <w:rPr>
          <w:rFonts w:ascii="Cambria" w:hAnsi="Cambria" w:cs="Tahoma"/>
        </w:rPr>
        <w:t>Dari grafik diatas dapat dilihat bahwa pada tahun 2013 target jumlah Tanah yang bersertifikat diharapkan meningkat menjadi 54% dari jumlah keseluruhan (target 20 sertifikat), dan dapat tercapai 100%. Sedangkan untuk tahun 2014 diharapkan meningkat menjadi 65% (target 22 persil) akan tetapi hanya terealisasi sebanyak 20 persil (59%). Kemudian untuk tahun 2015, ditargetkan meningkat menjadi 67% (target 7 persil), tapi hanya tercapai 5 persil atau sebesar 60%.</w:t>
      </w:r>
    </w:p>
    <w:p>
      <w:pPr>
        <w:tabs>
          <w:tab w:val="left" w:pos="0"/>
        </w:tabs>
        <w:spacing w:line="276" w:lineRule="auto"/>
        <w:ind w:firstLine="709"/>
        <w:jc w:val="both"/>
        <w:rPr>
          <w:rFonts w:ascii="Cambria" w:hAnsi="Cambria" w:cs="Tahoma"/>
        </w:rPr>
      </w:pPr>
      <w:r>
        <w:rPr>
          <w:rFonts w:ascii="Cambria" w:hAnsi="Cambria" w:cs="Tahoma"/>
        </w:rPr>
        <w:t>Tidak tercapainya target indikator ini pada tahun 2014 dan 2015 disebabkan faktor eksternal, dimana sangat kompleksnya administrasi yang harus diselesaikan dan dilengkapi untuk menerbitkan sertifikat tanah dari pihak BPN. Untuk masa yang akan datang, perlu dipikirkan solusi agar proses penerbitan sertifikat tanah ini dapat mencapai target dari tahun ke tahun, misalnya dengan jasa Notaris, walaupun memerlukan anggaran yang lebih besar.</w:t>
      </w:r>
    </w:p>
    <w:p>
      <w:pPr>
        <w:tabs>
          <w:tab w:val="left" w:pos="720"/>
        </w:tabs>
        <w:spacing w:after="120" w:line="276" w:lineRule="auto"/>
        <w:ind w:left="720" w:hanging="720"/>
        <w:jc w:val="both"/>
        <w:rPr>
          <w:rFonts w:ascii="Cambria" w:hAnsi="Cambria" w:cs="Tahoma"/>
          <w:b/>
          <w:i/>
        </w:rPr>
      </w:pPr>
      <w:r>
        <w:rPr>
          <w:rFonts w:ascii="Cambria" w:hAnsi="Cambria" w:cs="Tahoma"/>
          <w:b/>
          <w:i/>
        </w:rPr>
        <w:t>2.3.4</w:t>
      </w:r>
      <w:r>
        <w:rPr>
          <w:rFonts w:ascii="Cambria" w:hAnsi="Cambria" w:cs="Tahoma"/>
          <w:b/>
          <w:i/>
        </w:rPr>
        <w:tab/>
      </w:r>
      <w:r>
        <w:rPr>
          <w:rFonts w:ascii="Cambria" w:hAnsi="Cambria" w:cs="Tahoma"/>
          <w:b/>
          <w:i/>
        </w:rPr>
        <w:t>Indikator Persentase Jumlah Rumah Dinas yang Memiliki Surat Izin Penghunian (SIP)</w:t>
      </w:r>
    </w:p>
    <w:p>
      <w:pPr>
        <w:tabs>
          <w:tab w:val="left" w:pos="0"/>
        </w:tabs>
        <w:spacing w:line="276" w:lineRule="auto"/>
        <w:jc w:val="both"/>
        <w:rPr>
          <w:rFonts w:ascii="Cambria" w:hAnsi="Cambria" w:cs="Tahoma"/>
        </w:rPr>
      </w:pPr>
      <w:r>
        <w:rPr>
          <w:rFonts w:ascii="Cambria" w:hAnsi="Cambria" w:cs="Tahoma"/>
        </w:rPr>
        <w:tab/>
      </w:r>
      <w:r>
        <w:rPr>
          <w:rFonts w:ascii="Cambria" w:hAnsi="Cambria" w:cs="Tahoma"/>
        </w:rPr>
        <w:t>Tata kelola Rumah Dinas yang dimiliki SKPD sebagaimana yang diatur dalam Keputusan Menteri Pemukiman dan Prasarana Wilayah Nomor 373/KPTS/2001 tentang Sewa Rumah Negara harus memberikan kontribusi bagi Pendapatan Daerah melalui sewa Rumah Dinas yang besarannya juga diatur pada Kepmen tersebut. Selain itu, Rumah Dinas harus terdata, memiliki Surat Izin Penghunian (SIP) dan dihuni oleh Pegawai SKPD yang masih dalam masa kerja (belum pensiun). Surat Izin Penghunian (SIP) ini diusulkan oleh Kepala SKPD yang bersangkutan lengkap dengan data Pegawai yang akan menghuni ke Biro Administrasi Pengadaan dan Pengelolaan Barang Milik Daerah selaku Pembantu Pengelola Aset. Akan tetapi, masih terdapat Rumah Dinas yang belum memiliki SIP dikarenakan Rusak Berat (RB) sehingga tidak layak huni ataupun dalam proses sengketa dimana para Penghuni terdahulu yang telah pensiun masih ingin menempati Rumah Dinas tersebut walaupun telah diberi peringatan untuk segera pindah.</w:t>
      </w:r>
    </w:p>
    <w:p>
      <w:pPr>
        <w:tabs>
          <w:tab w:val="left" w:pos="0"/>
        </w:tabs>
        <w:spacing w:line="276" w:lineRule="auto"/>
        <w:jc w:val="both"/>
        <w:rPr>
          <w:rFonts w:ascii="Cambria" w:hAnsi="Cambria" w:cs="Tahoma"/>
        </w:rPr>
      </w:pPr>
      <w:r>
        <w:rPr>
          <w:rFonts w:ascii="Cambria" w:hAnsi="Cambria" w:cs="Tahoma"/>
        </w:rPr>
        <w:t>Berikut data Rumah Dinas pada SKPD Pemerintah Prov. Sumatera Barat baik yang sudah memiliki SIP maupun yang belum kondisi Juni 2016 :</w:t>
      </w:r>
    </w:p>
    <w:p>
      <w:pPr>
        <w:tabs>
          <w:tab w:val="left" w:pos="0"/>
        </w:tabs>
        <w:spacing w:after="0" w:line="240" w:lineRule="auto"/>
        <w:jc w:val="center"/>
        <w:rPr>
          <w:rFonts w:ascii="Cambria" w:hAnsi="Cambria" w:cs="Tahoma"/>
          <w:b/>
        </w:rPr>
      </w:pPr>
      <w:r>
        <w:rPr>
          <w:rFonts w:ascii="Cambria" w:hAnsi="Cambria" w:cs="Tahoma"/>
          <w:b/>
        </w:rPr>
        <w:t>Tabel 2.7</w:t>
      </w:r>
    </w:p>
    <w:p>
      <w:pPr>
        <w:tabs>
          <w:tab w:val="left" w:pos="0"/>
          <w:tab w:val="center" w:pos="4382"/>
          <w:tab w:val="left" w:pos="7800"/>
        </w:tabs>
        <w:spacing w:after="0" w:line="240" w:lineRule="auto"/>
        <w:rPr>
          <w:rFonts w:ascii="Cambria" w:hAnsi="Cambria" w:cs="Tahoma"/>
          <w:b/>
        </w:rPr>
      </w:pPr>
      <w:r>
        <w:rPr>
          <w:rFonts w:ascii="Cambria" w:hAnsi="Cambria" w:cs="Tahoma"/>
          <w:b/>
        </w:rPr>
        <w:tab/>
      </w:r>
      <w:r>
        <w:rPr>
          <w:rFonts w:ascii="Cambria" w:hAnsi="Cambria" w:cs="Tahoma"/>
          <w:b/>
        </w:rPr>
        <w:t>Data Rumah Dinas SKPD Provinsi Sumatera Barat</w:t>
      </w:r>
      <w:r>
        <w:rPr>
          <w:rFonts w:ascii="Cambria" w:hAnsi="Cambria" w:cs="Tahoma"/>
          <w:b/>
        </w:rPr>
        <w:tab/>
      </w:r>
    </w:p>
    <w:p>
      <w:pPr>
        <w:tabs>
          <w:tab w:val="left" w:pos="0"/>
        </w:tabs>
        <w:spacing w:after="120" w:line="240" w:lineRule="auto"/>
        <w:jc w:val="center"/>
        <w:rPr>
          <w:rFonts w:ascii="Cambria" w:hAnsi="Cambria" w:cs="Tahoma"/>
          <w:b/>
        </w:rPr>
      </w:pPr>
      <w:r>
        <w:rPr>
          <w:rFonts w:ascii="Cambria" w:hAnsi="Cambria" w:cs="Tahoma"/>
          <w:b/>
        </w:rPr>
        <w:t>Per 31 Desember 2017</w:t>
      </w:r>
    </w:p>
    <w:p>
      <w:pPr>
        <w:spacing w:line="276" w:lineRule="auto"/>
        <w:jc w:val="both"/>
        <w:rPr>
          <w:rFonts w:ascii="Cambria" w:hAnsi="Cambria"/>
        </w:rPr>
      </w:pPr>
      <w:r>
        <w:rPr>
          <w:rFonts w:ascii="Cambria" w:hAnsi="Cambria" w:cs="Tahoma"/>
          <w:b/>
          <w:i/>
        </w:rPr>
        <w:pict>
          <v:shape id="_x0000_s1031" o:spid="_x0000_s1031" o:spt="75" type="#_x0000_t75" style="position:absolute;left:0pt;margin-top:0pt;height:208.75pt;width:481.9pt;mso-position-horizontal:left;mso-wrap-distance-bottom:0pt;mso-wrap-distance-left:9pt;mso-wrap-distance-right:9pt;mso-wrap-distance-top:0pt;z-index:251788288;mso-width-relative:page;mso-height-relative:page;" o:ole="t" filled="f" o:preferrelative="t" stroked="f" coordsize="21600,21600">
            <v:path/>
            <v:fill on="f" focussize="0,0"/>
            <v:stroke on="f" joinstyle="miter"/>
            <v:imagedata r:id="rId17" o:title=""/>
            <o:lock v:ext="edit" aspectratio="t"/>
            <w10:wrap type="square" side="right"/>
          </v:shape>
          <o:OLEObject Type="Embed" ProgID="Excel.Sheet.12" ShapeID="_x0000_s1031" DrawAspect="Content" ObjectID="_1468075726" r:id="rId16">
            <o:LockedField>false</o:LockedField>
          </o:OLEObject>
        </w:pict>
      </w:r>
      <w:r>
        <w:rPr>
          <w:rFonts w:ascii="Cambria" w:hAnsi="Cambria"/>
        </w:rPr>
        <w:t>Sementara itu, untuk indikator Persentase Rumah Dinas yang telah memiliki SIP selama 3 (tiga) tahun kebelakang dapat dilihat pada grafik dibawah ini :</w:t>
      </w:r>
    </w:p>
    <w:p>
      <w:pPr>
        <w:tabs>
          <w:tab w:val="left" w:pos="0"/>
        </w:tabs>
        <w:spacing w:after="0" w:line="240" w:lineRule="auto"/>
        <w:jc w:val="center"/>
        <w:rPr>
          <w:rFonts w:ascii="Cambria" w:hAnsi="Cambria" w:cs="Tahoma"/>
          <w:b/>
        </w:rPr>
      </w:pPr>
    </w:p>
    <w:p>
      <w:pPr>
        <w:tabs>
          <w:tab w:val="left" w:pos="0"/>
        </w:tabs>
        <w:spacing w:after="0" w:line="240" w:lineRule="auto"/>
        <w:jc w:val="center"/>
        <w:rPr>
          <w:rFonts w:ascii="Cambria" w:hAnsi="Cambria" w:cs="Tahoma"/>
          <w:b/>
        </w:rPr>
      </w:pPr>
      <w:r>
        <w:rPr>
          <w:rFonts w:ascii="Cambria" w:hAnsi="Cambria" w:cs="Tahoma"/>
          <w:b/>
        </w:rPr>
        <w:t>Grafik 2.6</w:t>
      </w:r>
    </w:p>
    <w:p>
      <w:pPr>
        <w:tabs>
          <w:tab w:val="left" w:pos="0"/>
        </w:tabs>
        <w:spacing w:after="0" w:line="240" w:lineRule="auto"/>
        <w:jc w:val="center"/>
        <w:rPr>
          <w:rFonts w:ascii="Cambria" w:hAnsi="Cambria" w:cs="Tahoma"/>
          <w:b/>
        </w:rPr>
      </w:pPr>
      <w:r>
        <w:rPr>
          <w:rFonts w:ascii="Cambria" w:hAnsi="Cambria" w:cs="Tahoma"/>
          <w:b/>
        </w:rPr>
        <w:t xml:space="preserve">Indikator : Persentase Jumlah Rumah Dinas yang Memiliki </w:t>
      </w:r>
    </w:p>
    <w:p>
      <w:pPr>
        <w:tabs>
          <w:tab w:val="left" w:pos="0"/>
        </w:tabs>
        <w:spacing w:after="0" w:line="240" w:lineRule="auto"/>
        <w:jc w:val="center"/>
        <w:rPr>
          <w:rFonts w:ascii="Cambria" w:hAnsi="Cambria" w:cs="Tahoma"/>
          <w:b/>
        </w:rPr>
      </w:pPr>
      <w:r>
        <w:rPr>
          <w:rFonts w:ascii="Cambria" w:hAnsi="Cambria" w:cs="Tahoma"/>
          <w:b/>
        </w:rPr>
        <w:t>Surat Izin Penghunian (SIP)</w:t>
      </w:r>
    </w:p>
    <w:p>
      <w:pPr>
        <w:tabs>
          <w:tab w:val="left" w:pos="0"/>
        </w:tabs>
        <w:spacing w:after="0" w:line="276" w:lineRule="auto"/>
        <w:jc w:val="center"/>
        <w:rPr>
          <w:rFonts w:cs="Tahoma"/>
          <w:b/>
          <w:sz w:val="24"/>
        </w:rPr>
      </w:pPr>
    </w:p>
    <w:p>
      <w:pPr>
        <w:spacing w:after="0" w:line="276" w:lineRule="auto"/>
        <w:jc w:val="both"/>
        <w:rPr>
          <w:sz w:val="24"/>
        </w:rPr>
      </w:pPr>
      <w:r>
        <w:rPr>
          <w:rFonts w:cs="Tahoma"/>
          <w:sz w:val="24"/>
          <w:lang w:eastAsia="id-ID"/>
        </w:rPr>
        <w:drawing>
          <wp:anchor distT="0" distB="0" distL="114300" distR="114300" simplePos="0" relativeHeight="251774976" behindDoc="0" locked="0" layoutInCell="1" allowOverlap="1">
            <wp:simplePos x="0" y="0"/>
            <wp:positionH relativeFrom="column">
              <wp:posOffset>567690</wp:posOffset>
            </wp:positionH>
            <wp:positionV relativeFrom="paragraph">
              <wp:posOffset>22860</wp:posOffset>
            </wp:positionV>
            <wp:extent cx="4210050" cy="2211070"/>
            <wp:effectExtent l="0" t="0" r="0" b="17780"/>
            <wp:wrapSquare wrapText="bothSides"/>
            <wp:docPr id="29" name="Chart 29"/>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anchor>
        </w:drawing>
      </w:r>
      <w:r>
        <w:rPr/>
        <w:br w:type="textWrapping" w:clear="all"/>
      </w:r>
    </w:p>
    <w:p>
      <w:pPr>
        <w:spacing w:after="0" w:line="276" w:lineRule="auto"/>
        <w:jc w:val="both"/>
        <w:rPr>
          <w:rFonts w:ascii="Cambria" w:hAnsi="Cambria"/>
        </w:rPr>
      </w:pPr>
      <w:r>
        <w:rPr>
          <w:rFonts w:ascii="Cambria" w:hAnsi="Cambria"/>
        </w:rPr>
        <w:t xml:space="preserve">Dari grafik diatas dapat kita lihat bahwa untuk tahun 2014 target indikator keempat ini dapat tercapai 100% (50 SIP). Sementara untuk tahun 2015 capaian melebihi target, dari target 50 SIP berhasil diterbitkan 57 SIP atau 75,4% dari keseluruhan Rumah Dinas. Sedangkan untuk tahun 2013, target tidak dapat tercapai dimana pada tahun itu ditargetkan menerbitkan 100 SIP, tetapi hanya terealisasi sebanyak 97 SIP atau 54,6% dari keseluruhan Rumah Dinas.  </w:t>
      </w:r>
    </w:p>
    <w:p>
      <w:pPr>
        <w:spacing w:after="0" w:line="276" w:lineRule="auto"/>
        <w:jc w:val="both"/>
        <w:rPr>
          <w:rFonts w:ascii="Cambria" w:hAnsi="Cambria"/>
        </w:rPr>
      </w:pPr>
    </w:p>
    <w:p>
      <w:pPr>
        <w:tabs>
          <w:tab w:val="left" w:pos="720"/>
        </w:tabs>
        <w:spacing w:after="120" w:line="276" w:lineRule="auto"/>
        <w:ind w:left="720" w:hanging="720"/>
        <w:jc w:val="both"/>
        <w:rPr>
          <w:rFonts w:ascii="Cambria" w:hAnsi="Cambria" w:cs="Tahoma"/>
          <w:b/>
          <w:i/>
        </w:rPr>
      </w:pPr>
      <w:r>
        <w:rPr>
          <w:rFonts w:ascii="Cambria" w:hAnsi="Cambria" w:cs="Tahoma"/>
          <w:b/>
          <w:i/>
        </w:rPr>
        <w:t>2.3.5</w:t>
      </w:r>
      <w:r>
        <w:rPr>
          <w:rFonts w:ascii="Cambria" w:hAnsi="Cambria" w:cs="Tahoma"/>
          <w:b/>
          <w:i/>
        </w:rPr>
        <w:tab/>
      </w:r>
      <w:r>
        <w:rPr>
          <w:rFonts w:ascii="Cambria" w:hAnsi="Cambria" w:cs="Tahoma"/>
          <w:b/>
          <w:i/>
        </w:rPr>
        <w:t>Indikator Persentase Penyelesaian Aset Bermasalah pada Laporan Keuangan</w:t>
      </w:r>
    </w:p>
    <w:p>
      <w:pPr>
        <w:spacing w:after="0" w:line="276" w:lineRule="auto"/>
        <w:jc w:val="both"/>
        <w:rPr>
          <w:rFonts w:ascii="Cambria" w:hAnsi="Cambria" w:cs="Tahoma"/>
        </w:rPr>
      </w:pPr>
      <w:r>
        <w:rPr>
          <w:rFonts w:ascii="Cambria" w:hAnsi="Cambria" w:cs="Tahoma"/>
        </w:rPr>
        <w:tab/>
      </w:r>
      <w:r>
        <w:rPr>
          <w:rFonts w:ascii="Cambria" w:hAnsi="Cambria" w:cs="Tahoma"/>
        </w:rPr>
        <w:t>Pada Neraca Aset, terdapat nilai Aset Tetap dan Aset Lainnya yang terdiri dari ; 1). Aset Tidak Berwujud 2). Aset Dalam Penelusuran 3). Aset Tidak Bermanfaat dan 4). Aset Dipakai Pihak Lain. Aset Lainnya ini diasumsikan sebagai Aset Bermasalah karena tidak jelas keberadaannya, rusak berat maupun tidak dikuasai langsung oleh SKPD. Jumlah Aset Lainnya pada LKPD Provinsi Sumatera Barat dari tahun 2012 hingga 2015 adalah sebagai berikut :</w:t>
      </w:r>
    </w:p>
    <w:p>
      <w:pPr>
        <w:spacing w:after="0" w:line="276" w:lineRule="auto"/>
        <w:jc w:val="center"/>
        <w:rPr>
          <w:rFonts w:ascii="Cambria" w:hAnsi="Cambria" w:cs="Tahoma"/>
          <w:b/>
          <w:sz w:val="12"/>
          <w:szCs w:val="12"/>
        </w:rPr>
      </w:pPr>
    </w:p>
    <w:p>
      <w:pPr>
        <w:spacing w:after="0" w:line="240" w:lineRule="auto"/>
        <w:jc w:val="center"/>
        <w:rPr>
          <w:rFonts w:ascii="Cambria" w:hAnsi="Cambria" w:cs="Tahoma"/>
          <w:b/>
        </w:rPr>
      </w:pPr>
      <w:r>
        <w:rPr>
          <w:rFonts w:ascii="Cambria" w:hAnsi="Cambria" w:cs="Tahoma"/>
          <w:b/>
        </w:rPr>
        <w:t>Tabel 2.8</w:t>
      </w:r>
    </w:p>
    <w:p>
      <w:pPr>
        <w:spacing w:after="0" w:line="240" w:lineRule="auto"/>
        <w:jc w:val="center"/>
        <w:rPr>
          <w:rFonts w:ascii="Cambria" w:hAnsi="Cambria" w:cs="Tahoma"/>
          <w:b/>
        </w:rPr>
      </w:pPr>
      <w:r>
        <w:rPr>
          <w:rFonts w:ascii="Cambria" w:hAnsi="Cambria" w:cs="Tahoma"/>
          <w:b/>
        </w:rPr>
        <w:t>Rekapitulasi Aset Lainnya pada LKPD Prov. Sumatera Barat</w:t>
      </w:r>
    </w:p>
    <w:p>
      <w:pPr>
        <w:spacing w:after="0" w:line="240" w:lineRule="auto"/>
        <w:jc w:val="center"/>
        <w:rPr>
          <w:rFonts w:ascii="Cambria" w:hAnsi="Cambria" w:cs="Tahoma"/>
          <w:b/>
        </w:rPr>
      </w:pPr>
    </w:p>
    <w:tbl>
      <w:tblPr>
        <w:tblStyle w:val="8"/>
        <w:tblW w:w="9845" w:type="dxa"/>
        <w:tblInd w:w="-572"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423"/>
        <w:gridCol w:w="1706"/>
        <w:gridCol w:w="1557"/>
        <w:gridCol w:w="1523"/>
        <w:gridCol w:w="1523"/>
        <w:gridCol w:w="1554"/>
        <w:gridCol w:w="1559"/>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423" w:type="dxa"/>
          </w:tcPr>
          <w:p>
            <w:pPr>
              <w:tabs>
                <w:tab w:val="left" w:pos="0"/>
              </w:tabs>
              <w:spacing w:before="60" w:after="60" w:line="240" w:lineRule="auto"/>
              <w:jc w:val="center"/>
              <w:rPr>
                <w:rFonts w:ascii="Cambria" w:hAnsi="Cambria" w:cs="Tahoma"/>
                <w:sz w:val="14"/>
                <w:szCs w:val="14"/>
              </w:rPr>
            </w:pPr>
            <w:r>
              <w:rPr>
                <w:rFonts w:ascii="Cambria" w:hAnsi="Cambria" w:cs="Tahoma"/>
                <w:sz w:val="14"/>
                <w:szCs w:val="14"/>
              </w:rPr>
              <w:t>No</w:t>
            </w:r>
          </w:p>
        </w:tc>
        <w:tc>
          <w:tcPr>
            <w:tcW w:w="1706" w:type="dxa"/>
          </w:tcPr>
          <w:p>
            <w:pPr>
              <w:tabs>
                <w:tab w:val="left" w:pos="0"/>
              </w:tabs>
              <w:spacing w:before="60" w:after="60" w:line="240" w:lineRule="auto"/>
              <w:jc w:val="center"/>
              <w:rPr>
                <w:rFonts w:ascii="Cambria" w:hAnsi="Cambria" w:cs="Tahoma"/>
                <w:sz w:val="14"/>
                <w:szCs w:val="14"/>
              </w:rPr>
            </w:pPr>
            <w:r>
              <w:rPr>
                <w:rFonts w:ascii="Cambria" w:hAnsi="Cambria" w:cs="Tahoma"/>
                <w:sz w:val="14"/>
                <w:szCs w:val="14"/>
              </w:rPr>
              <w:t>Uraian</w:t>
            </w:r>
          </w:p>
        </w:tc>
        <w:tc>
          <w:tcPr>
            <w:tcW w:w="1557" w:type="dxa"/>
          </w:tcPr>
          <w:p>
            <w:pPr>
              <w:tabs>
                <w:tab w:val="left" w:pos="0"/>
              </w:tabs>
              <w:spacing w:before="60" w:after="60" w:line="240" w:lineRule="auto"/>
              <w:jc w:val="center"/>
              <w:rPr>
                <w:rFonts w:ascii="Cambria" w:hAnsi="Cambria" w:cs="Tahoma"/>
                <w:sz w:val="14"/>
                <w:szCs w:val="14"/>
              </w:rPr>
            </w:pPr>
            <w:r>
              <w:rPr>
                <w:rFonts w:ascii="Cambria" w:hAnsi="Cambria" w:cs="Tahoma"/>
                <w:sz w:val="14"/>
                <w:szCs w:val="14"/>
              </w:rPr>
              <w:t>2012</w:t>
            </w:r>
          </w:p>
        </w:tc>
        <w:tc>
          <w:tcPr>
            <w:tcW w:w="1523" w:type="dxa"/>
          </w:tcPr>
          <w:p>
            <w:pPr>
              <w:tabs>
                <w:tab w:val="left" w:pos="0"/>
              </w:tabs>
              <w:spacing w:before="60" w:after="60" w:line="240" w:lineRule="auto"/>
              <w:jc w:val="center"/>
              <w:rPr>
                <w:rFonts w:ascii="Cambria" w:hAnsi="Cambria" w:cs="Tahoma"/>
                <w:sz w:val="14"/>
                <w:szCs w:val="14"/>
              </w:rPr>
            </w:pPr>
            <w:r>
              <w:rPr>
                <w:rFonts w:ascii="Cambria" w:hAnsi="Cambria" w:cs="Tahoma"/>
                <w:sz w:val="14"/>
                <w:szCs w:val="14"/>
              </w:rPr>
              <w:t>2013</w:t>
            </w:r>
          </w:p>
        </w:tc>
        <w:tc>
          <w:tcPr>
            <w:tcW w:w="1523" w:type="dxa"/>
          </w:tcPr>
          <w:p>
            <w:pPr>
              <w:tabs>
                <w:tab w:val="left" w:pos="0"/>
              </w:tabs>
              <w:spacing w:before="60" w:after="60" w:line="240" w:lineRule="auto"/>
              <w:jc w:val="center"/>
              <w:rPr>
                <w:rFonts w:ascii="Cambria" w:hAnsi="Cambria" w:cs="Tahoma"/>
                <w:sz w:val="14"/>
                <w:szCs w:val="14"/>
              </w:rPr>
            </w:pPr>
            <w:r>
              <w:rPr>
                <w:rFonts w:ascii="Cambria" w:hAnsi="Cambria" w:cs="Tahoma"/>
                <w:sz w:val="14"/>
                <w:szCs w:val="14"/>
              </w:rPr>
              <w:t>2014</w:t>
            </w:r>
          </w:p>
        </w:tc>
        <w:tc>
          <w:tcPr>
            <w:tcW w:w="1554" w:type="dxa"/>
          </w:tcPr>
          <w:p>
            <w:pPr>
              <w:tabs>
                <w:tab w:val="left" w:pos="0"/>
              </w:tabs>
              <w:spacing w:before="60" w:after="60" w:line="240" w:lineRule="auto"/>
              <w:jc w:val="center"/>
              <w:rPr>
                <w:rFonts w:ascii="Cambria" w:hAnsi="Cambria" w:cs="Tahoma"/>
                <w:sz w:val="14"/>
                <w:szCs w:val="14"/>
              </w:rPr>
            </w:pPr>
            <w:r>
              <w:rPr>
                <w:rFonts w:ascii="Cambria" w:hAnsi="Cambria" w:cs="Tahoma"/>
                <w:sz w:val="14"/>
                <w:szCs w:val="14"/>
              </w:rPr>
              <w:t>2015</w:t>
            </w:r>
          </w:p>
        </w:tc>
        <w:tc>
          <w:tcPr>
            <w:tcW w:w="1559" w:type="dxa"/>
          </w:tcPr>
          <w:p>
            <w:pPr>
              <w:tabs>
                <w:tab w:val="left" w:pos="0"/>
              </w:tabs>
              <w:spacing w:before="60" w:after="60" w:line="240" w:lineRule="auto"/>
              <w:jc w:val="center"/>
              <w:rPr>
                <w:rFonts w:ascii="Cambria" w:hAnsi="Cambria" w:cs="Tahoma"/>
                <w:sz w:val="14"/>
                <w:szCs w:val="14"/>
              </w:rPr>
            </w:pPr>
            <w:r>
              <w:rPr>
                <w:rFonts w:ascii="Cambria" w:hAnsi="Cambria" w:cs="Tahoma"/>
                <w:sz w:val="14"/>
                <w:szCs w:val="14"/>
              </w:rPr>
              <w:t>2016</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423" w:type="dxa"/>
          </w:tcPr>
          <w:p>
            <w:pPr>
              <w:tabs>
                <w:tab w:val="left" w:pos="0"/>
              </w:tabs>
              <w:spacing w:before="60" w:after="60" w:line="240" w:lineRule="auto"/>
              <w:jc w:val="center"/>
              <w:rPr>
                <w:rFonts w:ascii="Cambria" w:hAnsi="Cambria" w:cs="Tahoma"/>
                <w:sz w:val="14"/>
                <w:szCs w:val="14"/>
              </w:rPr>
            </w:pPr>
          </w:p>
        </w:tc>
        <w:tc>
          <w:tcPr>
            <w:tcW w:w="1706" w:type="dxa"/>
          </w:tcPr>
          <w:p>
            <w:pPr>
              <w:tabs>
                <w:tab w:val="left" w:pos="0"/>
              </w:tabs>
              <w:spacing w:before="60" w:after="60" w:line="240" w:lineRule="auto"/>
              <w:jc w:val="left"/>
              <w:rPr>
                <w:rFonts w:ascii="Cambria" w:hAnsi="Cambria" w:cs="Tahoma"/>
                <w:sz w:val="14"/>
                <w:szCs w:val="14"/>
              </w:rPr>
            </w:pPr>
            <w:r>
              <w:rPr>
                <w:rFonts w:ascii="Cambria" w:hAnsi="Cambria" w:cs="Tahoma"/>
                <w:sz w:val="14"/>
                <w:szCs w:val="14"/>
              </w:rPr>
              <w:t>Aset Lainnya</w:t>
            </w:r>
          </w:p>
        </w:tc>
        <w:tc>
          <w:tcPr>
            <w:tcW w:w="1557" w:type="dxa"/>
          </w:tcPr>
          <w:p>
            <w:pPr>
              <w:tabs>
                <w:tab w:val="left" w:pos="0"/>
              </w:tabs>
              <w:spacing w:before="60" w:after="60" w:line="240" w:lineRule="auto"/>
              <w:jc w:val="right"/>
              <w:rPr>
                <w:rFonts w:ascii="Cambria" w:hAnsi="Cambria" w:cs="Tahoma"/>
                <w:sz w:val="14"/>
                <w:szCs w:val="14"/>
              </w:rPr>
            </w:pPr>
          </w:p>
        </w:tc>
        <w:tc>
          <w:tcPr>
            <w:tcW w:w="1523" w:type="dxa"/>
          </w:tcPr>
          <w:p>
            <w:pPr>
              <w:tabs>
                <w:tab w:val="left" w:pos="0"/>
              </w:tabs>
              <w:spacing w:before="60" w:after="60" w:line="240" w:lineRule="auto"/>
              <w:jc w:val="right"/>
              <w:rPr>
                <w:rFonts w:ascii="Cambria" w:hAnsi="Cambria" w:cs="Tahoma"/>
                <w:sz w:val="14"/>
                <w:szCs w:val="14"/>
              </w:rPr>
            </w:pPr>
          </w:p>
        </w:tc>
        <w:tc>
          <w:tcPr>
            <w:tcW w:w="1523" w:type="dxa"/>
          </w:tcPr>
          <w:p>
            <w:pPr>
              <w:tabs>
                <w:tab w:val="left" w:pos="0"/>
              </w:tabs>
              <w:spacing w:before="60" w:after="60" w:line="240" w:lineRule="auto"/>
              <w:jc w:val="right"/>
              <w:rPr>
                <w:rFonts w:ascii="Cambria" w:hAnsi="Cambria" w:cs="Tahoma"/>
                <w:sz w:val="14"/>
                <w:szCs w:val="14"/>
              </w:rPr>
            </w:pPr>
          </w:p>
        </w:tc>
        <w:tc>
          <w:tcPr>
            <w:tcW w:w="1554" w:type="dxa"/>
          </w:tcPr>
          <w:p>
            <w:pPr>
              <w:tabs>
                <w:tab w:val="left" w:pos="0"/>
              </w:tabs>
              <w:spacing w:before="60" w:after="60" w:line="240" w:lineRule="auto"/>
              <w:jc w:val="right"/>
              <w:rPr>
                <w:rFonts w:ascii="Cambria" w:hAnsi="Cambria" w:cs="Tahoma"/>
                <w:sz w:val="14"/>
                <w:szCs w:val="14"/>
              </w:rPr>
            </w:pPr>
          </w:p>
        </w:tc>
        <w:tc>
          <w:tcPr>
            <w:tcW w:w="1559" w:type="dxa"/>
          </w:tcPr>
          <w:p>
            <w:pPr>
              <w:tabs>
                <w:tab w:val="left" w:pos="0"/>
              </w:tabs>
              <w:spacing w:before="60" w:after="60" w:line="240" w:lineRule="auto"/>
              <w:jc w:val="right"/>
              <w:rPr>
                <w:rFonts w:ascii="Cambria" w:hAnsi="Cambria" w:cs="Tahoma"/>
                <w:sz w:val="14"/>
                <w:szCs w:val="1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423" w:type="dxa"/>
          </w:tcPr>
          <w:p>
            <w:pPr>
              <w:tabs>
                <w:tab w:val="left" w:pos="0"/>
              </w:tabs>
              <w:spacing w:before="60" w:after="60" w:line="240" w:lineRule="auto"/>
              <w:jc w:val="center"/>
              <w:rPr>
                <w:rFonts w:ascii="Cambria" w:hAnsi="Cambria" w:cs="Tahoma"/>
                <w:sz w:val="14"/>
                <w:szCs w:val="14"/>
              </w:rPr>
            </w:pPr>
            <w:r>
              <w:rPr>
                <w:rFonts w:ascii="Cambria" w:hAnsi="Cambria" w:cs="Tahoma"/>
                <w:sz w:val="14"/>
                <w:szCs w:val="14"/>
              </w:rPr>
              <w:t>1</w:t>
            </w:r>
          </w:p>
        </w:tc>
        <w:tc>
          <w:tcPr>
            <w:tcW w:w="1706" w:type="dxa"/>
          </w:tcPr>
          <w:p>
            <w:pPr>
              <w:tabs>
                <w:tab w:val="left" w:pos="0"/>
              </w:tabs>
              <w:spacing w:before="60" w:after="60" w:line="240" w:lineRule="auto"/>
              <w:jc w:val="left"/>
              <w:rPr>
                <w:rFonts w:ascii="Cambria" w:hAnsi="Cambria" w:cs="Tahoma"/>
                <w:sz w:val="14"/>
                <w:szCs w:val="14"/>
              </w:rPr>
            </w:pPr>
            <w:r>
              <w:rPr>
                <w:rFonts w:ascii="Cambria" w:hAnsi="Cambria" w:cs="Tahoma"/>
                <w:sz w:val="14"/>
                <w:szCs w:val="14"/>
              </w:rPr>
              <w:t>Aset Tidak Berwujud</w:t>
            </w:r>
          </w:p>
        </w:tc>
        <w:tc>
          <w:tcPr>
            <w:tcW w:w="1557" w:type="dxa"/>
          </w:tcPr>
          <w:p>
            <w:pPr>
              <w:tabs>
                <w:tab w:val="left" w:pos="0"/>
              </w:tabs>
              <w:spacing w:before="60" w:after="60" w:line="240" w:lineRule="auto"/>
              <w:jc w:val="right"/>
              <w:rPr>
                <w:rFonts w:ascii="Cambria" w:hAnsi="Cambria" w:cs="Tahoma"/>
                <w:sz w:val="14"/>
                <w:szCs w:val="14"/>
              </w:rPr>
            </w:pPr>
            <w:r>
              <w:rPr>
                <w:rFonts w:ascii="Cambria" w:hAnsi="Cambria" w:cs="Tahoma"/>
                <w:sz w:val="14"/>
                <w:szCs w:val="14"/>
              </w:rPr>
              <w:t>13.609.170.133,00</w:t>
            </w:r>
          </w:p>
        </w:tc>
        <w:tc>
          <w:tcPr>
            <w:tcW w:w="1523" w:type="dxa"/>
          </w:tcPr>
          <w:p>
            <w:pPr>
              <w:tabs>
                <w:tab w:val="left" w:pos="0"/>
              </w:tabs>
              <w:spacing w:before="60" w:after="60" w:line="240" w:lineRule="auto"/>
              <w:jc w:val="right"/>
              <w:rPr>
                <w:rFonts w:ascii="Cambria" w:hAnsi="Cambria" w:cs="Tahoma"/>
                <w:sz w:val="14"/>
                <w:szCs w:val="14"/>
              </w:rPr>
            </w:pPr>
            <w:r>
              <w:rPr>
                <w:rFonts w:ascii="Cambria" w:hAnsi="Cambria" w:cs="Tahoma"/>
                <w:sz w:val="14"/>
                <w:szCs w:val="14"/>
              </w:rPr>
              <w:t>17.167.243.903,00</w:t>
            </w:r>
          </w:p>
        </w:tc>
        <w:tc>
          <w:tcPr>
            <w:tcW w:w="1523" w:type="dxa"/>
          </w:tcPr>
          <w:p>
            <w:pPr>
              <w:tabs>
                <w:tab w:val="left" w:pos="0"/>
              </w:tabs>
              <w:spacing w:before="60" w:after="60" w:line="240" w:lineRule="auto"/>
              <w:jc w:val="right"/>
              <w:rPr>
                <w:rFonts w:ascii="Cambria" w:hAnsi="Cambria" w:cs="Tahoma"/>
                <w:sz w:val="14"/>
                <w:szCs w:val="14"/>
              </w:rPr>
            </w:pPr>
            <w:r>
              <w:rPr>
                <w:rFonts w:ascii="Cambria" w:hAnsi="Cambria" w:cs="Tahoma"/>
                <w:sz w:val="14"/>
                <w:szCs w:val="14"/>
              </w:rPr>
              <w:t>19.181.100.255,03</w:t>
            </w:r>
          </w:p>
        </w:tc>
        <w:tc>
          <w:tcPr>
            <w:tcW w:w="1554" w:type="dxa"/>
          </w:tcPr>
          <w:p>
            <w:pPr>
              <w:tabs>
                <w:tab w:val="left" w:pos="0"/>
              </w:tabs>
              <w:spacing w:before="60" w:after="60" w:line="240" w:lineRule="auto"/>
              <w:jc w:val="right"/>
              <w:rPr>
                <w:rFonts w:ascii="Cambria" w:hAnsi="Cambria" w:cs="Tahoma"/>
                <w:sz w:val="14"/>
                <w:szCs w:val="14"/>
              </w:rPr>
            </w:pPr>
            <w:r>
              <w:rPr>
                <w:rFonts w:ascii="Cambria" w:hAnsi="Cambria" w:cs="Tahoma"/>
                <w:sz w:val="14"/>
                <w:szCs w:val="14"/>
              </w:rPr>
              <w:t>23.098.839.610,03</w:t>
            </w:r>
          </w:p>
        </w:tc>
        <w:tc>
          <w:tcPr>
            <w:tcW w:w="1559" w:type="dxa"/>
          </w:tcPr>
          <w:p>
            <w:pPr>
              <w:tabs>
                <w:tab w:val="left" w:pos="0"/>
              </w:tabs>
              <w:spacing w:before="60" w:after="60" w:line="240" w:lineRule="auto"/>
              <w:jc w:val="right"/>
              <w:rPr>
                <w:rFonts w:ascii="Cambria" w:hAnsi="Cambria" w:cs="Tahoma"/>
                <w:sz w:val="14"/>
                <w:szCs w:val="14"/>
              </w:rPr>
            </w:pPr>
            <w:r>
              <w:rPr>
                <w:rFonts w:ascii="Cambria" w:hAnsi="Cambria" w:cs="Tahoma"/>
                <w:sz w:val="14"/>
                <w:szCs w:val="14"/>
              </w:rPr>
              <w:t>27.507.366.115,03</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423" w:type="dxa"/>
          </w:tcPr>
          <w:p>
            <w:pPr>
              <w:tabs>
                <w:tab w:val="left" w:pos="0"/>
              </w:tabs>
              <w:spacing w:before="60" w:after="60" w:line="240" w:lineRule="auto"/>
              <w:jc w:val="center"/>
              <w:rPr>
                <w:rFonts w:ascii="Cambria" w:hAnsi="Cambria" w:cs="Tahoma"/>
                <w:sz w:val="14"/>
                <w:szCs w:val="14"/>
              </w:rPr>
            </w:pPr>
            <w:r>
              <w:rPr>
                <w:rFonts w:ascii="Cambria" w:hAnsi="Cambria" w:cs="Tahoma"/>
                <w:sz w:val="14"/>
                <w:szCs w:val="14"/>
              </w:rPr>
              <w:t>2</w:t>
            </w:r>
          </w:p>
        </w:tc>
        <w:tc>
          <w:tcPr>
            <w:tcW w:w="1706" w:type="dxa"/>
          </w:tcPr>
          <w:p>
            <w:pPr>
              <w:tabs>
                <w:tab w:val="left" w:pos="0"/>
              </w:tabs>
              <w:spacing w:before="60" w:after="60" w:line="240" w:lineRule="auto"/>
              <w:jc w:val="left"/>
              <w:rPr>
                <w:rFonts w:ascii="Cambria" w:hAnsi="Cambria" w:cs="Tahoma"/>
                <w:sz w:val="14"/>
                <w:szCs w:val="14"/>
              </w:rPr>
            </w:pPr>
            <w:r>
              <w:rPr>
                <w:rFonts w:ascii="Cambria" w:hAnsi="Cambria" w:cs="Tahoma"/>
                <w:sz w:val="14"/>
                <w:szCs w:val="14"/>
              </w:rPr>
              <w:t>Aset Dalam Penelusuran</w:t>
            </w:r>
          </w:p>
        </w:tc>
        <w:tc>
          <w:tcPr>
            <w:tcW w:w="1557" w:type="dxa"/>
          </w:tcPr>
          <w:p>
            <w:pPr>
              <w:tabs>
                <w:tab w:val="left" w:pos="0"/>
              </w:tabs>
              <w:spacing w:before="60" w:after="60" w:line="240" w:lineRule="auto"/>
              <w:jc w:val="right"/>
              <w:rPr>
                <w:rFonts w:ascii="Cambria" w:hAnsi="Cambria" w:cs="Tahoma"/>
                <w:sz w:val="14"/>
                <w:szCs w:val="14"/>
              </w:rPr>
            </w:pPr>
            <w:r>
              <w:rPr>
                <w:rFonts w:ascii="Cambria" w:hAnsi="Cambria" w:cs="Tahoma"/>
                <w:sz w:val="14"/>
                <w:szCs w:val="14"/>
              </w:rPr>
              <w:t>79.114.730.199,12</w:t>
            </w:r>
          </w:p>
        </w:tc>
        <w:tc>
          <w:tcPr>
            <w:tcW w:w="1523" w:type="dxa"/>
          </w:tcPr>
          <w:p>
            <w:pPr>
              <w:tabs>
                <w:tab w:val="left" w:pos="0"/>
              </w:tabs>
              <w:spacing w:before="60" w:after="60" w:line="240" w:lineRule="auto"/>
              <w:jc w:val="right"/>
              <w:rPr>
                <w:rFonts w:ascii="Cambria" w:hAnsi="Cambria" w:cs="Tahoma"/>
                <w:sz w:val="14"/>
                <w:szCs w:val="14"/>
              </w:rPr>
            </w:pPr>
            <w:r>
              <w:rPr>
                <w:rFonts w:ascii="Cambria" w:hAnsi="Cambria" w:cs="Tahoma"/>
                <w:sz w:val="14"/>
                <w:szCs w:val="14"/>
              </w:rPr>
              <w:t>6.352.030.059,00</w:t>
            </w:r>
          </w:p>
        </w:tc>
        <w:tc>
          <w:tcPr>
            <w:tcW w:w="1523" w:type="dxa"/>
          </w:tcPr>
          <w:p>
            <w:pPr>
              <w:tabs>
                <w:tab w:val="left" w:pos="0"/>
              </w:tabs>
              <w:spacing w:before="60" w:after="60" w:line="240" w:lineRule="auto"/>
              <w:jc w:val="right"/>
              <w:rPr>
                <w:rFonts w:ascii="Cambria" w:hAnsi="Cambria" w:cs="Tahoma"/>
                <w:sz w:val="14"/>
                <w:szCs w:val="14"/>
              </w:rPr>
            </w:pPr>
            <w:r>
              <w:rPr>
                <w:rFonts w:ascii="Cambria" w:hAnsi="Cambria" w:cs="Tahoma"/>
                <w:sz w:val="14"/>
                <w:szCs w:val="14"/>
              </w:rPr>
              <w:t>5.634,638.970,00</w:t>
            </w:r>
          </w:p>
        </w:tc>
        <w:tc>
          <w:tcPr>
            <w:tcW w:w="1554" w:type="dxa"/>
          </w:tcPr>
          <w:p>
            <w:pPr>
              <w:tabs>
                <w:tab w:val="left" w:pos="0"/>
              </w:tabs>
              <w:spacing w:before="60" w:after="60" w:line="240" w:lineRule="auto"/>
              <w:jc w:val="right"/>
              <w:rPr>
                <w:rFonts w:ascii="Cambria" w:hAnsi="Cambria" w:cs="Tahoma"/>
                <w:sz w:val="14"/>
                <w:szCs w:val="14"/>
              </w:rPr>
            </w:pPr>
            <w:r>
              <w:rPr>
                <w:rFonts w:ascii="Cambria" w:hAnsi="Cambria" w:cs="Tahoma"/>
                <w:sz w:val="14"/>
                <w:szCs w:val="14"/>
              </w:rPr>
              <w:t>5.313.067.371,00</w:t>
            </w:r>
          </w:p>
        </w:tc>
        <w:tc>
          <w:tcPr>
            <w:tcW w:w="1559" w:type="dxa"/>
          </w:tcPr>
          <w:p>
            <w:pPr>
              <w:tabs>
                <w:tab w:val="left" w:pos="0"/>
              </w:tabs>
              <w:spacing w:before="60" w:after="60" w:line="240" w:lineRule="auto"/>
              <w:jc w:val="right"/>
              <w:rPr>
                <w:rFonts w:ascii="Cambria" w:hAnsi="Cambria" w:cs="Tahoma"/>
                <w:sz w:val="14"/>
                <w:szCs w:val="14"/>
              </w:rPr>
            </w:pPr>
            <w:r>
              <w:rPr>
                <w:rFonts w:ascii="Cambria" w:hAnsi="Cambria" w:cs="Tahoma"/>
                <w:sz w:val="14"/>
                <w:szCs w:val="14"/>
              </w:rPr>
              <w:t>3.517.495.019,00</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423" w:type="dxa"/>
          </w:tcPr>
          <w:p>
            <w:pPr>
              <w:tabs>
                <w:tab w:val="left" w:pos="0"/>
              </w:tabs>
              <w:spacing w:before="60" w:after="60" w:line="240" w:lineRule="auto"/>
              <w:jc w:val="center"/>
              <w:rPr>
                <w:rFonts w:ascii="Cambria" w:hAnsi="Cambria" w:cs="Tahoma"/>
                <w:sz w:val="14"/>
                <w:szCs w:val="14"/>
              </w:rPr>
            </w:pPr>
            <w:r>
              <w:rPr>
                <w:rFonts w:ascii="Cambria" w:hAnsi="Cambria" w:cs="Tahoma"/>
                <w:sz w:val="14"/>
                <w:szCs w:val="14"/>
              </w:rPr>
              <w:t>3</w:t>
            </w:r>
          </w:p>
        </w:tc>
        <w:tc>
          <w:tcPr>
            <w:tcW w:w="1706" w:type="dxa"/>
          </w:tcPr>
          <w:p>
            <w:pPr>
              <w:tabs>
                <w:tab w:val="left" w:pos="0"/>
              </w:tabs>
              <w:spacing w:before="60" w:after="60" w:line="240" w:lineRule="auto"/>
              <w:jc w:val="left"/>
              <w:rPr>
                <w:rFonts w:ascii="Cambria" w:hAnsi="Cambria" w:cs="Tahoma"/>
                <w:sz w:val="14"/>
                <w:szCs w:val="14"/>
              </w:rPr>
            </w:pPr>
            <w:r>
              <w:rPr>
                <w:rFonts w:ascii="Cambria" w:hAnsi="Cambria" w:cs="Tahoma"/>
                <w:sz w:val="14"/>
                <w:szCs w:val="14"/>
              </w:rPr>
              <w:t>Aset Tidak Bermanfaat</w:t>
            </w:r>
          </w:p>
        </w:tc>
        <w:tc>
          <w:tcPr>
            <w:tcW w:w="1557" w:type="dxa"/>
          </w:tcPr>
          <w:p>
            <w:pPr>
              <w:tabs>
                <w:tab w:val="left" w:pos="0"/>
              </w:tabs>
              <w:spacing w:before="60" w:after="60" w:line="240" w:lineRule="auto"/>
              <w:jc w:val="right"/>
              <w:rPr>
                <w:rFonts w:ascii="Cambria" w:hAnsi="Cambria" w:cs="Tahoma"/>
                <w:sz w:val="14"/>
                <w:szCs w:val="14"/>
              </w:rPr>
            </w:pPr>
            <w:r>
              <w:rPr>
                <w:rFonts w:ascii="Cambria" w:hAnsi="Cambria" w:cs="Tahoma"/>
                <w:sz w:val="14"/>
                <w:szCs w:val="14"/>
              </w:rPr>
              <w:t>16.638.841.064,17</w:t>
            </w:r>
          </w:p>
        </w:tc>
        <w:tc>
          <w:tcPr>
            <w:tcW w:w="1523" w:type="dxa"/>
          </w:tcPr>
          <w:p>
            <w:pPr>
              <w:tabs>
                <w:tab w:val="left" w:pos="0"/>
              </w:tabs>
              <w:spacing w:before="60" w:after="60" w:line="240" w:lineRule="auto"/>
              <w:jc w:val="right"/>
              <w:rPr>
                <w:rFonts w:ascii="Cambria" w:hAnsi="Cambria" w:cs="Tahoma"/>
                <w:sz w:val="14"/>
                <w:szCs w:val="14"/>
              </w:rPr>
            </w:pPr>
            <w:r>
              <w:rPr>
                <w:rFonts w:ascii="Cambria" w:hAnsi="Cambria" w:cs="Tahoma"/>
                <w:sz w:val="14"/>
                <w:szCs w:val="14"/>
              </w:rPr>
              <w:t>13.266.354.005,05</w:t>
            </w:r>
          </w:p>
        </w:tc>
        <w:tc>
          <w:tcPr>
            <w:tcW w:w="1523" w:type="dxa"/>
          </w:tcPr>
          <w:p>
            <w:pPr>
              <w:tabs>
                <w:tab w:val="left" w:pos="0"/>
              </w:tabs>
              <w:spacing w:before="60" w:after="60" w:line="240" w:lineRule="auto"/>
              <w:jc w:val="right"/>
              <w:rPr>
                <w:rFonts w:ascii="Cambria" w:hAnsi="Cambria" w:cs="Tahoma"/>
                <w:sz w:val="14"/>
                <w:szCs w:val="14"/>
              </w:rPr>
            </w:pPr>
            <w:r>
              <w:rPr>
                <w:rFonts w:ascii="Cambria" w:hAnsi="Cambria" w:cs="Tahoma"/>
                <w:sz w:val="14"/>
                <w:szCs w:val="14"/>
              </w:rPr>
              <w:t>4.420.313.444,00</w:t>
            </w:r>
          </w:p>
        </w:tc>
        <w:tc>
          <w:tcPr>
            <w:tcW w:w="1554" w:type="dxa"/>
          </w:tcPr>
          <w:p>
            <w:pPr>
              <w:tabs>
                <w:tab w:val="left" w:pos="0"/>
              </w:tabs>
              <w:spacing w:before="60" w:after="60" w:line="240" w:lineRule="auto"/>
              <w:jc w:val="right"/>
              <w:rPr>
                <w:rFonts w:ascii="Cambria" w:hAnsi="Cambria" w:cs="Tahoma"/>
                <w:sz w:val="14"/>
                <w:szCs w:val="14"/>
              </w:rPr>
            </w:pPr>
            <w:r>
              <w:rPr>
                <w:rFonts w:ascii="Cambria" w:hAnsi="Cambria" w:cs="Tahoma"/>
                <w:sz w:val="14"/>
                <w:szCs w:val="14"/>
              </w:rPr>
              <w:t>11.610.486.085,05</w:t>
            </w:r>
          </w:p>
        </w:tc>
        <w:tc>
          <w:tcPr>
            <w:tcW w:w="1559" w:type="dxa"/>
          </w:tcPr>
          <w:p>
            <w:pPr>
              <w:tabs>
                <w:tab w:val="left" w:pos="0"/>
              </w:tabs>
              <w:spacing w:before="60" w:after="60" w:line="240" w:lineRule="auto"/>
              <w:jc w:val="right"/>
              <w:rPr>
                <w:rFonts w:ascii="Cambria" w:hAnsi="Cambria" w:cs="Tahoma"/>
                <w:sz w:val="14"/>
                <w:szCs w:val="14"/>
              </w:rPr>
            </w:pPr>
            <w:r>
              <w:rPr>
                <w:rFonts w:ascii="Cambria" w:hAnsi="Cambria" w:cs="Tahoma"/>
                <w:sz w:val="14"/>
                <w:szCs w:val="14"/>
              </w:rPr>
              <w:t>4.954.753.983,00</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423" w:type="dxa"/>
          </w:tcPr>
          <w:p>
            <w:pPr>
              <w:tabs>
                <w:tab w:val="left" w:pos="0"/>
              </w:tabs>
              <w:spacing w:before="60" w:after="60" w:line="240" w:lineRule="auto"/>
              <w:jc w:val="center"/>
              <w:rPr>
                <w:rFonts w:ascii="Cambria" w:hAnsi="Cambria" w:cs="Tahoma"/>
                <w:sz w:val="14"/>
                <w:szCs w:val="14"/>
              </w:rPr>
            </w:pPr>
            <w:r>
              <w:rPr>
                <w:rFonts w:ascii="Cambria" w:hAnsi="Cambria" w:cs="Tahoma"/>
                <w:sz w:val="14"/>
                <w:szCs w:val="14"/>
              </w:rPr>
              <w:t>4</w:t>
            </w:r>
          </w:p>
        </w:tc>
        <w:tc>
          <w:tcPr>
            <w:tcW w:w="1706" w:type="dxa"/>
          </w:tcPr>
          <w:p>
            <w:pPr>
              <w:tabs>
                <w:tab w:val="left" w:pos="0"/>
              </w:tabs>
              <w:spacing w:before="60" w:after="60" w:line="240" w:lineRule="auto"/>
              <w:jc w:val="both"/>
              <w:rPr>
                <w:rFonts w:ascii="Cambria" w:hAnsi="Cambria" w:cs="Tahoma"/>
                <w:sz w:val="14"/>
                <w:szCs w:val="14"/>
              </w:rPr>
            </w:pPr>
            <w:r>
              <w:rPr>
                <w:rFonts w:ascii="Cambria" w:hAnsi="Cambria" w:cs="Tahoma"/>
                <w:sz w:val="14"/>
                <w:szCs w:val="14"/>
              </w:rPr>
              <w:t>Aset Dipakai Pihak Lain</w:t>
            </w:r>
          </w:p>
        </w:tc>
        <w:tc>
          <w:tcPr>
            <w:tcW w:w="1557" w:type="dxa"/>
          </w:tcPr>
          <w:p>
            <w:pPr>
              <w:tabs>
                <w:tab w:val="left" w:pos="0"/>
              </w:tabs>
              <w:spacing w:before="60" w:after="60" w:line="240" w:lineRule="auto"/>
              <w:jc w:val="right"/>
              <w:rPr>
                <w:rFonts w:ascii="Cambria" w:hAnsi="Cambria" w:cs="Tahoma"/>
                <w:sz w:val="14"/>
                <w:szCs w:val="14"/>
              </w:rPr>
            </w:pPr>
            <w:r>
              <w:rPr>
                <w:rFonts w:ascii="Cambria" w:hAnsi="Cambria" w:cs="Tahoma"/>
                <w:sz w:val="14"/>
                <w:szCs w:val="14"/>
              </w:rPr>
              <w:t>998.303.283.056,79</w:t>
            </w:r>
          </w:p>
        </w:tc>
        <w:tc>
          <w:tcPr>
            <w:tcW w:w="1523" w:type="dxa"/>
          </w:tcPr>
          <w:p>
            <w:pPr>
              <w:tabs>
                <w:tab w:val="left" w:pos="0"/>
              </w:tabs>
              <w:spacing w:before="60" w:after="60" w:line="240" w:lineRule="auto"/>
              <w:jc w:val="right"/>
              <w:rPr>
                <w:rFonts w:ascii="Cambria" w:hAnsi="Cambria" w:cs="Tahoma"/>
                <w:sz w:val="14"/>
                <w:szCs w:val="14"/>
              </w:rPr>
            </w:pPr>
            <w:r>
              <w:rPr>
                <w:rFonts w:ascii="Cambria" w:hAnsi="Cambria" w:cs="Tahoma"/>
                <w:sz w:val="14"/>
                <w:szCs w:val="14"/>
              </w:rPr>
              <w:t>727.937.379.360,20</w:t>
            </w:r>
          </w:p>
        </w:tc>
        <w:tc>
          <w:tcPr>
            <w:tcW w:w="1523" w:type="dxa"/>
          </w:tcPr>
          <w:p>
            <w:pPr>
              <w:tabs>
                <w:tab w:val="left" w:pos="0"/>
              </w:tabs>
              <w:spacing w:before="60" w:after="60" w:line="240" w:lineRule="auto"/>
              <w:jc w:val="right"/>
              <w:rPr>
                <w:rFonts w:ascii="Cambria" w:hAnsi="Cambria" w:cs="Tahoma"/>
                <w:sz w:val="14"/>
                <w:szCs w:val="14"/>
              </w:rPr>
            </w:pPr>
            <w:r>
              <w:rPr>
                <w:rFonts w:ascii="Cambria" w:hAnsi="Cambria" w:cs="Tahoma"/>
                <w:sz w:val="14"/>
                <w:szCs w:val="14"/>
              </w:rPr>
              <w:t>279.181.963.089,58</w:t>
            </w:r>
          </w:p>
        </w:tc>
        <w:tc>
          <w:tcPr>
            <w:tcW w:w="1554" w:type="dxa"/>
          </w:tcPr>
          <w:p>
            <w:pPr>
              <w:tabs>
                <w:tab w:val="left" w:pos="0"/>
              </w:tabs>
              <w:spacing w:before="60" w:after="60" w:line="240" w:lineRule="auto"/>
              <w:jc w:val="right"/>
              <w:rPr>
                <w:rFonts w:ascii="Cambria" w:hAnsi="Cambria" w:cs="Tahoma"/>
                <w:sz w:val="14"/>
                <w:szCs w:val="14"/>
              </w:rPr>
            </w:pPr>
            <w:r>
              <w:rPr>
                <w:rFonts w:ascii="Cambria" w:hAnsi="Cambria" w:cs="Tahoma"/>
                <w:sz w:val="14"/>
                <w:szCs w:val="14"/>
              </w:rPr>
              <w:t>8.945.218.310,72</w:t>
            </w:r>
          </w:p>
        </w:tc>
        <w:tc>
          <w:tcPr>
            <w:tcW w:w="1559" w:type="dxa"/>
          </w:tcPr>
          <w:p>
            <w:pPr>
              <w:tabs>
                <w:tab w:val="left" w:pos="0"/>
              </w:tabs>
              <w:spacing w:before="60" w:after="60" w:line="240" w:lineRule="auto"/>
              <w:jc w:val="right"/>
              <w:rPr>
                <w:rFonts w:ascii="Cambria" w:hAnsi="Cambria" w:cs="Tahoma"/>
                <w:sz w:val="14"/>
                <w:szCs w:val="14"/>
              </w:rPr>
            </w:pPr>
            <w:r>
              <w:rPr>
                <w:rFonts w:ascii="Cambria" w:hAnsi="Cambria" w:cs="Tahoma"/>
                <w:sz w:val="14"/>
                <w:szCs w:val="14"/>
              </w:rPr>
              <w:t>8.889.917.810,72</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423" w:type="dxa"/>
          </w:tcPr>
          <w:p>
            <w:pPr>
              <w:tabs>
                <w:tab w:val="left" w:pos="0"/>
              </w:tabs>
              <w:spacing w:before="60" w:after="60" w:line="240" w:lineRule="auto"/>
              <w:jc w:val="center"/>
              <w:rPr>
                <w:rFonts w:ascii="Cambria" w:hAnsi="Cambria" w:cs="Tahoma"/>
                <w:sz w:val="14"/>
                <w:szCs w:val="14"/>
              </w:rPr>
            </w:pPr>
          </w:p>
        </w:tc>
        <w:tc>
          <w:tcPr>
            <w:tcW w:w="1706" w:type="dxa"/>
          </w:tcPr>
          <w:p>
            <w:pPr>
              <w:tabs>
                <w:tab w:val="left" w:pos="0"/>
              </w:tabs>
              <w:spacing w:before="60" w:after="60" w:line="240" w:lineRule="auto"/>
              <w:jc w:val="both"/>
              <w:rPr>
                <w:rFonts w:ascii="Cambria" w:hAnsi="Cambria" w:cs="Tahoma"/>
                <w:sz w:val="14"/>
                <w:szCs w:val="14"/>
              </w:rPr>
            </w:pPr>
            <w:r>
              <w:rPr>
                <w:rFonts w:ascii="Cambria" w:hAnsi="Cambria" w:cs="Tahoma"/>
                <w:sz w:val="14"/>
                <w:szCs w:val="14"/>
              </w:rPr>
              <w:t>Jumlah Aset Lainnya</w:t>
            </w:r>
          </w:p>
        </w:tc>
        <w:tc>
          <w:tcPr>
            <w:tcW w:w="1557" w:type="dxa"/>
          </w:tcPr>
          <w:p>
            <w:pPr>
              <w:tabs>
                <w:tab w:val="left" w:pos="0"/>
              </w:tabs>
              <w:spacing w:before="60" w:after="60" w:line="240" w:lineRule="auto"/>
              <w:jc w:val="right"/>
              <w:rPr>
                <w:rFonts w:ascii="Cambria" w:hAnsi="Cambria" w:cs="Tahoma"/>
                <w:sz w:val="14"/>
                <w:szCs w:val="14"/>
              </w:rPr>
            </w:pPr>
            <w:r>
              <w:rPr>
                <w:rFonts w:ascii="Cambria" w:hAnsi="Cambria" w:cs="Tahoma"/>
                <w:sz w:val="14"/>
                <w:szCs w:val="14"/>
              </w:rPr>
              <w:t>1.107.666.024.453,08</w:t>
            </w:r>
          </w:p>
        </w:tc>
        <w:tc>
          <w:tcPr>
            <w:tcW w:w="1523" w:type="dxa"/>
          </w:tcPr>
          <w:p>
            <w:pPr>
              <w:tabs>
                <w:tab w:val="left" w:pos="0"/>
              </w:tabs>
              <w:spacing w:before="60" w:after="60" w:line="240" w:lineRule="auto"/>
              <w:jc w:val="right"/>
              <w:rPr>
                <w:rFonts w:ascii="Cambria" w:hAnsi="Cambria" w:cs="Tahoma"/>
                <w:sz w:val="14"/>
                <w:szCs w:val="14"/>
              </w:rPr>
            </w:pPr>
            <w:r>
              <w:rPr>
                <w:rFonts w:ascii="Cambria" w:hAnsi="Cambria" w:cs="Tahoma"/>
                <w:sz w:val="14"/>
                <w:szCs w:val="14"/>
              </w:rPr>
              <w:t>764.723.007.327,25</w:t>
            </w:r>
          </w:p>
        </w:tc>
        <w:tc>
          <w:tcPr>
            <w:tcW w:w="1523" w:type="dxa"/>
          </w:tcPr>
          <w:p>
            <w:pPr>
              <w:tabs>
                <w:tab w:val="left" w:pos="0"/>
              </w:tabs>
              <w:spacing w:before="60" w:after="60" w:line="240" w:lineRule="auto"/>
              <w:jc w:val="right"/>
              <w:rPr>
                <w:rFonts w:ascii="Cambria" w:hAnsi="Cambria" w:cs="Tahoma"/>
                <w:sz w:val="14"/>
                <w:szCs w:val="14"/>
              </w:rPr>
            </w:pPr>
            <w:r>
              <w:rPr>
                <w:rFonts w:ascii="Cambria" w:hAnsi="Cambria" w:cs="Tahoma"/>
                <w:sz w:val="14"/>
                <w:szCs w:val="14"/>
              </w:rPr>
              <w:t>308.418.015.758,61</w:t>
            </w:r>
          </w:p>
        </w:tc>
        <w:tc>
          <w:tcPr>
            <w:tcW w:w="1554" w:type="dxa"/>
          </w:tcPr>
          <w:p>
            <w:pPr>
              <w:tabs>
                <w:tab w:val="left" w:pos="0"/>
              </w:tabs>
              <w:spacing w:before="60" w:after="60" w:line="240" w:lineRule="auto"/>
              <w:jc w:val="right"/>
              <w:rPr>
                <w:rFonts w:ascii="Cambria" w:hAnsi="Cambria" w:cs="Tahoma"/>
                <w:sz w:val="14"/>
                <w:szCs w:val="14"/>
              </w:rPr>
            </w:pPr>
            <w:r>
              <w:rPr>
                <w:rFonts w:ascii="Cambria" w:hAnsi="Cambria" w:cs="Tahoma"/>
                <w:sz w:val="14"/>
                <w:szCs w:val="14"/>
              </w:rPr>
              <w:t>48.967.611.376,80</w:t>
            </w:r>
          </w:p>
        </w:tc>
        <w:tc>
          <w:tcPr>
            <w:tcW w:w="1559" w:type="dxa"/>
          </w:tcPr>
          <w:p>
            <w:pPr>
              <w:tabs>
                <w:tab w:val="left" w:pos="0"/>
              </w:tabs>
              <w:spacing w:before="60" w:after="60" w:line="240" w:lineRule="auto"/>
              <w:jc w:val="right"/>
              <w:rPr>
                <w:rFonts w:ascii="Cambria" w:hAnsi="Cambria" w:cs="Tahoma"/>
                <w:sz w:val="14"/>
                <w:szCs w:val="14"/>
              </w:rPr>
            </w:pPr>
            <w:r>
              <w:rPr>
                <w:rFonts w:ascii="Cambria" w:hAnsi="Cambria" w:cs="Tahoma"/>
                <w:sz w:val="14"/>
                <w:szCs w:val="14"/>
              </w:rPr>
              <w:t>44.869.532.927.75</w:t>
            </w:r>
          </w:p>
        </w:tc>
      </w:tr>
    </w:tbl>
    <w:p>
      <w:pPr>
        <w:spacing w:after="0" w:line="240" w:lineRule="auto"/>
        <w:jc w:val="center"/>
        <w:rPr>
          <w:rFonts w:ascii="Cambria" w:hAnsi="Cambria" w:cs="Tahoma"/>
          <w:b/>
        </w:rPr>
      </w:pPr>
    </w:p>
    <w:p>
      <w:pPr>
        <w:spacing w:after="0" w:line="276" w:lineRule="auto"/>
        <w:jc w:val="both"/>
        <w:rPr>
          <w:rFonts w:ascii="Cambria" w:hAnsi="Cambria" w:cs="Tahoma"/>
        </w:rPr>
      </w:pPr>
      <w:r>
        <w:rPr>
          <w:rFonts w:ascii="Cambria" w:hAnsi="Cambria" w:cs="Tahoma"/>
        </w:rPr>
        <w:t>Dari tabel diatas, dapat kita lihat bahwa jumlah Aset Lainnya pada LKPD Prov. Sumbar sangat besar pada tahun 2012 yaitu sebesar Rp. 1.107.666.024.453,08 (kurang lebih Rp. 1,1 Triliun). Temuan besarnya Aset Lainnya inilah yang menimbulkan opini Wajar Dengan Pengecualian (WDP) pada LKPD Sumbar oleh BPK-RI. Sebagai tindak lanjut dan jawaban atas temuan tersebut, disusunlah Rencana Aksi Penyelesaian Permasalahan Aset yang harus segera diselesaikan. Progress penyelesaian inilah yang dijadikan target indikator kinerja setiap tahunnya. Dengan Rencana Aksi yang ditindaklanjuti, jumlah Aset Lainnya pada tahun-tahun berikutnya mengalami penurunan dan hal ini merupakan progress yang signifikan. Hingga pada akhir 2015, jumlah Aset Lainnya pada LKPD Sumbar hanya tinggal Rp. 48 Milyar saja. Adapun capaian dari target kelima ini dapat dilihat dari grafik dibawah:</w:t>
      </w:r>
    </w:p>
    <w:p>
      <w:pPr>
        <w:tabs>
          <w:tab w:val="left" w:pos="0"/>
        </w:tabs>
        <w:spacing w:after="0" w:line="276" w:lineRule="auto"/>
        <w:jc w:val="center"/>
        <w:rPr>
          <w:rFonts w:ascii="Cambria" w:hAnsi="Cambria" w:cs="Tahoma"/>
          <w:b/>
        </w:rPr>
      </w:pPr>
    </w:p>
    <w:p>
      <w:pPr>
        <w:tabs>
          <w:tab w:val="left" w:pos="0"/>
        </w:tabs>
        <w:spacing w:after="0" w:line="240" w:lineRule="auto"/>
        <w:jc w:val="center"/>
        <w:rPr>
          <w:rFonts w:ascii="Cambria" w:hAnsi="Cambria" w:cs="Tahoma"/>
          <w:b/>
        </w:rPr>
      </w:pPr>
      <w:r>
        <w:rPr>
          <w:rFonts w:ascii="Cambria" w:hAnsi="Cambria" w:cs="Tahoma"/>
          <w:b/>
        </w:rPr>
        <w:t>Grafik 2.7</w:t>
      </w:r>
    </w:p>
    <w:p>
      <w:pPr>
        <w:tabs>
          <w:tab w:val="left" w:pos="0"/>
        </w:tabs>
        <w:spacing w:after="0" w:line="240" w:lineRule="auto"/>
        <w:jc w:val="center"/>
        <w:rPr>
          <w:rFonts w:ascii="Cambria" w:hAnsi="Cambria" w:cs="Tahoma"/>
          <w:b/>
        </w:rPr>
      </w:pPr>
      <w:r>
        <w:rPr>
          <w:rFonts w:ascii="Cambria" w:hAnsi="Cambria" w:cs="Tahoma"/>
          <w:b/>
        </w:rPr>
        <w:t xml:space="preserve">Indikator : Persentase Penyelesaian Aset Bermasalah </w:t>
      </w:r>
    </w:p>
    <w:p>
      <w:pPr>
        <w:tabs>
          <w:tab w:val="left" w:pos="0"/>
        </w:tabs>
        <w:spacing w:after="0" w:line="240" w:lineRule="auto"/>
        <w:jc w:val="center"/>
        <w:rPr>
          <w:rFonts w:ascii="Cambria" w:hAnsi="Cambria" w:cs="Tahoma"/>
          <w:b/>
        </w:rPr>
      </w:pPr>
      <w:r>
        <w:rPr>
          <w:rFonts w:ascii="Cambria" w:hAnsi="Cambria" w:cs="Tahoma"/>
          <w:b/>
        </w:rPr>
        <w:t>pada Laporan Keuangan</w:t>
      </w:r>
    </w:p>
    <w:p>
      <w:pPr>
        <w:tabs>
          <w:tab w:val="left" w:pos="0"/>
        </w:tabs>
        <w:spacing w:after="0" w:line="240" w:lineRule="auto"/>
        <w:jc w:val="center"/>
        <w:rPr>
          <w:rFonts w:cs="Tahoma"/>
          <w:b/>
          <w:sz w:val="24"/>
        </w:rPr>
      </w:pPr>
      <w:r>
        <w:rPr>
          <w:rFonts w:cs="Tahoma"/>
          <w:sz w:val="24"/>
          <w:lang w:eastAsia="id-ID"/>
        </w:rPr>
        <w:drawing>
          <wp:anchor distT="0" distB="0" distL="114300" distR="114300" simplePos="0" relativeHeight="251776000" behindDoc="0" locked="0" layoutInCell="1" allowOverlap="1">
            <wp:simplePos x="0" y="0"/>
            <wp:positionH relativeFrom="page">
              <wp:align>center</wp:align>
            </wp:positionH>
            <wp:positionV relativeFrom="paragraph">
              <wp:posOffset>176530</wp:posOffset>
            </wp:positionV>
            <wp:extent cx="5001260" cy="2943860"/>
            <wp:effectExtent l="0" t="0" r="8890" b="8890"/>
            <wp:wrapSquare wrapText="bothSides"/>
            <wp:docPr id="30" name="Chart 30"/>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anchor>
        </w:drawing>
      </w:r>
    </w:p>
    <w:p>
      <w:pPr>
        <w:spacing w:after="0" w:line="276" w:lineRule="auto"/>
        <w:jc w:val="both"/>
        <w:rPr>
          <w:rFonts w:ascii="Cambria" w:hAnsi="Cambria" w:cs="Tahoma"/>
        </w:rPr>
      </w:pPr>
      <w:r>
        <w:rPr/>
        <w:br w:type="textWrapping" w:clear="all"/>
      </w:r>
    </w:p>
    <w:p>
      <w:pPr>
        <w:spacing w:after="0" w:line="276" w:lineRule="auto"/>
        <w:jc w:val="both"/>
        <w:rPr>
          <w:rFonts w:ascii="Cambria" w:hAnsi="Cambria" w:cs="Tahoma"/>
        </w:rPr>
      </w:pPr>
      <w:r>
        <w:rPr>
          <w:rFonts w:ascii="Cambria" w:hAnsi="Cambria" w:cs="Tahoma"/>
        </w:rPr>
        <w:t>Dari grafik diatas dapat dilihat bahwa target penyelesaian aset bermasalah pada tahun 2013 adalah sebesar 13,7% dari Rp. 1,1 Triliun. Akan tetapi berhasil dicapai 30,9% atau sebesar Rp. 391 Milyar. Begitu juga untuk tahun 2014, dimana hanya ditargetkan 44%, tetapi mampu dicapai sebesar 60% atau sekitar Rp. 847 Milyar. Sementara untuk tahun 2015, capaian target 75% dapat dicapai 95% atau sebesar Rp. 1,050 Triliun. Dengan demikian, sisa Aset Lainnya yang masih ada sampai akhir 2015 adalah kurang lebih Rp. 49 Miliar atau sebesar 5%.</w:t>
      </w:r>
    </w:p>
    <w:p>
      <w:pPr>
        <w:spacing w:after="0" w:line="276" w:lineRule="auto"/>
        <w:jc w:val="both"/>
        <w:rPr>
          <w:rFonts w:ascii="Cambria" w:hAnsi="Cambria" w:cs="Tahoma"/>
        </w:rPr>
      </w:pPr>
    </w:p>
    <w:p>
      <w:pPr>
        <w:tabs>
          <w:tab w:val="left" w:pos="720"/>
        </w:tabs>
        <w:spacing w:after="120" w:line="276" w:lineRule="auto"/>
        <w:ind w:left="720" w:hanging="720"/>
        <w:jc w:val="both"/>
        <w:rPr>
          <w:rFonts w:ascii="Cambria" w:hAnsi="Cambria" w:cs="Tahoma"/>
          <w:b/>
          <w:i/>
        </w:rPr>
      </w:pPr>
      <w:r>
        <w:rPr>
          <w:rFonts w:ascii="Cambria" w:hAnsi="Cambria" w:cs="Tahoma"/>
          <w:b/>
          <w:i/>
        </w:rPr>
        <w:t>2.3.6</w:t>
      </w:r>
      <w:r>
        <w:rPr>
          <w:rFonts w:ascii="Cambria" w:hAnsi="Cambria" w:cs="Tahoma"/>
          <w:b/>
          <w:i/>
        </w:rPr>
        <w:tab/>
      </w:r>
      <w:r>
        <w:rPr>
          <w:rFonts w:ascii="Cambria" w:hAnsi="Cambria" w:cs="Tahoma"/>
          <w:b/>
          <w:i/>
        </w:rPr>
        <w:t>Indikator Jumlah Aset Tidak Bermanfaat yang Dihapuskan</w:t>
      </w:r>
    </w:p>
    <w:p>
      <w:pPr>
        <w:spacing w:after="0" w:line="276" w:lineRule="auto"/>
        <w:jc w:val="both"/>
        <w:rPr>
          <w:rFonts w:ascii="Cambria" w:hAnsi="Cambria" w:cs="Tahoma"/>
        </w:rPr>
      </w:pPr>
      <w:r>
        <w:rPr>
          <w:rFonts w:ascii="Cambria" w:hAnsi="Cambria" w:cs="Tahoma"/>
        </w:rPr>
        <w:tab/>
      </w:r>
      <w:r>
        <w:rPr>
          <w:rFonts w:ascii="Cambria" w:hAnsi="Cambria" w:cs="Tahoma"/>
        </w:rPr>
        <w:t>Indikator ini menghitung seberapa besar aset tidak bermanfaat yang tercatat pada Neraca Aset Pemprov. Sumbar yang dapat diproses administrasi penghapusannya oleh Biro Administrasi Pengadaan dan Pengelolaan Barang Milik Daerah setiap tahunnya berdasarkan usulan yang masuk. Penghapusan Aset Tidak Bermanfaat diusulkan sendiri oleh SKPD kepada Biro Administrasi Pengadaan dan Pengelolaan Barang Milik Daerah selaku Pembantu Pengelola Aset. Oleh karena itu setiap tahunnya ditetapkan target yang tinggi terhadap indikator kinerja ini, dengan tujuan semakin sedikitnya Aset Tidak Bermanfaat yang berarti semakin tertibnya pengelolaan aset. Target dan capaian indikator keenam ini untuk 3 (tiga) tahun kebelakang dapat dilihat seperti grafik diatas :</w:t>
      </w:r>
    </w:p>
    <w:p>
      <w:pPr>
        <w:tabs>
          <w:tab w:val="left" w:pos="0"/>
        </w:tabs>
        <w:spacing w:after="0" w:line="240" w:lineRule="auto"/>
        <w:jc w:val="center"/>
        <w:rPr>
          <w:rFonts w:ascii="Cambria" w:hAnsi="Cambria" w:cs="Tahoma"/>
          <w:b/>
        </w:rPr>
      </w:pPr>
    </w:p>
    <w:p>
      <w:pPr>
        <w:tabs>
          <w:tab w:val="left" w:pos="0"/>
        </w:tabs>
        <w:spacing w:after="0" w:line="240" w:lineRule="auto"/>
        <w:jc w:val="center"/>
        <w:rPr>
          <w:rFonts w:ascii="Cambria" w:hAnsi="Cambria" w:cs="Tahoma"/>
          <w:b/>
        </w:rPr>
      </w:pPr>
      <w:r>
        <w:rPr>
          <w:rFonts w:ascii="Cambria" w:hAnsi="Cambria" w:cs="Tahoma"/>
          <w:b/>
        </w:rPr>
        <w:t>Grafik 2.8</w:t>
      </w:r>
    </w:p>
    <w:p>
      <w:pPr>
        <w:tabs>
          <w:tab w:val="left" w:pos="0"/>
        </w:tabs>
        <w:spacing w:after="0" w:line="240" w:lineRule="auto"/>
        <w:jc w:val="center"/>
        <w:rPr>
          <w:rFonts w:ascii="Cambria" w:hAnsi="Cambria" w:cs="Tahoma"/>
          <w:b/>
        </w:rPr>
      </w:pPr>
      <w:r>
        <w:rPr>
          <w:rFonts w:ascii="Cambria" w:hAnsi="Cambria" w:cs="Tahoma"/>
          <w:b/>
        </w:rPr>
        <w:t xml:space="preserve">Indikator : Persentase Aset Tidak Bermanfaat </w:t>
      </w:r>
    </w:p>
    <w:p>
      <w:pPr>
        <w:tabs>
          <w:tab w:val="left" w:pos="0"/>
        </w:tabs>
        <w:spacing w:after="0" w:line="240" w:lineRule="auto"/>
        <w:jc w:val="center"/>
        <w:rPr>
          <w:rFonts w:ascii="Cambria" w:hAnsi="Cambria" w:cs="Tahoma"/>
          <w:b/>
        </w:rPr>
      </w:pPr>
      <w:r>
        <w:rPr>
          <w:rFonts w:ascii="Cambria" w:hAnsi="Cambria" w:cs="Tahoma"/>
          <w:b/>
        </w:rPr>
        <w:t>yang Dihapuskan</w:t>
      </w:r>
    </w:p>
    <w:p>
      <w:pPr>
        <w:tabs>
          <w:tab w:val="left" w:pos="0"/>
        </w:tabs>
        <w:spacing w:after="0" w:line="240" w:lineRule="auto"/>
        <w:jc w:val="center"/>
        <w:rPr>
          <w:rFonts w:ascii="Cambria" w:hAnsi="Cambria" w:cs="Tahoma"/>
          <w:b/>
        </w:rPr>
      </w:pPr>
      <w:r>
        <w:rPr>
          <w:rFonts w:ascii="Cambria" w:hAnsi="Cambria" w:cs="Tahoma"/>
          <w:lang w:eastAsia="id-ID"/>
        </w:rPr>
        <w:drawing>
          <wp:anchor distT="0" distB="0" distL="114300" distR="114300" simplePos="0" relativeHeight="251777024" behindDoc="0" locked="0" layoutInCell="1" allowOverlap="1">
            <wp:simplePos x="0" y="0"/>
            <wp:positionH relativeFrom="column">
              <wp:posOffset>556895</wp:posOffset>
            </wp:positionH>
            <wp:positionV relativeFrom="paragraph">
              <wp:posOffset>168275</wp:posOffset>
            </wp:positionV>
            <wp:extent cx="4156710" cy="1903095"/>
            <wp:effectExtent l="0" t="0" r="15240" b="1905"/>
            <wp:wrapSquare wrapText="bothSides"/>
            <wp:docPr id="31" name="Chart 31"/>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anchor>
        </w:drawing>
      </w:r>
    </w:p>
    <w:p>
      <w:pPr>
        <w:spacing w:after="240" w:line="240" w:lineRule="auto"/>
        <w:jc w:val="both"/>
        <w:rPr>
          <w:rFonts w:ascii="Cambria" w:hAnsi="Cambria" w:cs="Tahoma"/>
        </w:rPr>
      </w:pPr>
      <w:r>
        <w:rPr>
          <w:rFonts w:ascii="Cambria" w:hAnsi="Cambria"/>
        </w:rPr>
        <w:br w:type="textWrapping" w:clear="all"/>
      </w:r>
    </w:p>
    <w:p>
      <w:pPr>
        <w:spacing w:after="240" w:line="276" w:lineRule="auto"/>
        <w:jc w:val="both"/>
        <w:rPr>
          <w:rFonts w:ascii="Cambria" w:hAnsi="Cambria" w:cs="Tahoma"/>
        </w:rPr>
      </w:pPr>
      <w:r>
        <w:rPr>
          <w:rFonts w:ascii="Cambria" w:hAnsi="Cambria" w:cs="Tahoma"/>
        </w:rPr>
        <w:t xml:space="preserve">Dari grafik diatas dapat dilihat bahwa untuk tahun 2013 dan 2014 target indikator ini berhasil dicapai bahkan lebih besar dari target pada tahun 2014. Namun untuk tahun 2015, dari target 90% hanya mampu dicapai 60% saja, dikarenakan terdapat pengusulan penghapusan SKPD menjelang akhir tahun anggaran, sehingga proses penghapusannya tidak dapat diselesaikan. </w:t>
      </w:r>
    </w:p>
    <w:p>
      <w:pPr>
        <w:tabs>
          <w:tab w:val="left" w:pos="720"/>
        </w:tabs>
        <w:spacing w:after="120" w:line="276" w:lineRule="auto"/>
        <w:ind w:left="720" w:hanging="720"/>
        <w:jc w:val="both"/>
        <w:rPr>
          <w:rFonts w:ascii="Cambria" w:hAnsi="Cambria" w:cs="Tahoma"/>
          <w:b/>
          <w:i/>
        </w:rPr>
      </w:pPr>
      <w:r>
        <w:rPr>
          <w:rFonts w:ascii="Cambria" w:hAnsi="Cambria" w:cs="Tahoma"/>
          <w:b/>
          <w:i/>
        </w:rPr>
        <w:t>2.3.7</w:t>
      </w:r>
      <w:r>
        <w:rPr>
          <w:rFonts w:ascii="Cambria" w:hAnsi="Cambria" w:cs="Tahoma"/>
          <w:b/>
          <w:i/>
        </w:rPr>
        <w:tab/>
      </w:r>
      <w:r>
        <w:rPr>
          <w:rFonts w:ascii="Cambria" w:hAnsi="Cambria" w:cs="Tahoma"/>
          <w:b/>
          <w:i/>
        </w:rPr>
        <w:t>Indikator Jumlah Aset Idle yang Dipinjampakaikan</w:t>
      </w:r>
    </w:p>
    <w:p>
      <w:pPr>
        <w:spacing w:after="0" w:line="276" w:lineRule="auto"/>
        <w:jc w:val="both"/>
        <w:rPr>
          <w:rFonts w:ascii="Cambria" w:hAnsi="Cambria" w:cs="Tahoma"/>
        </w:rPr>
      </w:pPr>
      <w:r>
        <w:rPr>
          <w:rFonts w:ascii="Cambria" w:hAnsi="Cambria" w:cs="Tahoma"/>
        </w:rPr>
        <w:tab/>
      </w:r>
      <w:r>
        <w:rPr>
          <w:rFonts w:ascii="Cambria" w:hAnsi="Cambria" w:cs="Tahoma"/>
        </w:rPr>
        <w:t xml:space="preserve">Indikator ini menghitung seberapa optimal Aset </w:t>
      </w:r>
      <w:r>
        <w:rPr>
          <w:rFonts w:ascii="Cambria" w:hAnsi="Cambria" w:cs="Tahoma"/>
          <w:i/>
        </w:rPr>
        <w:t>idle</w:t>
      </w:r>
      <w:r>
        <w:rPr>
          <w:rFonts w:ascii="Cambria" w:hAnsi="Cambria" w:cs="Tahoma"/>
        </w:rPr>
        <w:t>atau yang tidak dimanfaatkan namun masih memiliki umur ekonomis, dipinjampakaikan ataupun disewakan kepada pihak lain (Kabupaten/Kota maupun pihak ketiga). Aset</w:t>
      </w:r>
      <w:r>
        <w:rPr>
          <w:rFonts w:ascii="Cambria" w:hAnsi="Cambria" w:cs="Tahoma"/>
          <w:i/>
        </w:rPr>
        <w:t xml:space="preserve"> idle </w:t>
      </w:r>
      <w:r>
        <w:rPr>
          <w:rFonts w:ascii="Cambria" w:hAnsi="Cambria" w:cs="Tahoma"/>
        </w:rPr>
        <w:t>yang sedang tidak dimanfaatkan oleh SKPD Pengguna dapat dioptimalisasikan penggunaannya dengan cara dipinjampakaikan ataupun disewakan dengan tujuan agar tidak menganggur dan dapat difungsikan sebagaimana mestinya serta dapat pula mendatangkan pendapatan bagi kas daerah melalui retribusi sewa yang ditetapkan. Indikator ketujuh ini ditetapkan sejak 2 tahun kebelakang yang dapat dijelaskan dengan grafik dibawah ini :</w:t>
      </w:r>
    </w:p>
    <w:p>
      <w:pPr>
        <w:tabs>
          <w:tab w:val="left" w:pos="0"/>
        </w:tabs>
        <w:spacing w:after="0" w:line="276" w:lineRule="auto"/>
        <w:jc w:val="center"/>
        <w:rPr>
          <w:rFonts w:ascii="Cambria" w:hAnsi="Cambria" w:cs="Tahoma"/>
          <w:b/>
        </w:rPr>
      </w:pPr>
    </w:p>
    <w:p>
      <w:pPr>
        <w:tabs>
          <w:tab w:val="left" w:pos="0"/>
        </w:tabs>
        <w:spacing w:after="0" w:line="276" w:lineRule="auto"/>
        <w:jc w:val="center"/>
        <w:rPr>
          <w:rFonts w:ascii="Cambria" w:hAnsi="Cambria" w:cs="Tahoma"/>
          <w:b/>
        </w:rPr>
      </w:pPr>
      <w:r>
        <w:rPr>
          <w:rFonts w:ascii="Cambria" w:hAnsi="Cambria" w:cs="Tahoma"/>
          <w:b/>
        </w:rPr>
        <w:t>Grafik 2.9</w:t>
      </w:r>
    </w:p>
    <w:p>
      <w:pPr>
        <w:tabs>
          <w:tab w:val="left" w:pos="0"/>
        </w:tabs>
        <w:spacing w:after="0" w:line="276" w:lineRule="auto"/>
        <w:jc w:val="center"/>
        <w:rPr>
          <w:rFonts w:ascii="Cambria" w:hAnsi="Cambria" w:cs="Tahoma"/>
          <w:b/>
        </w:rPr>
      </w:pPr>
      <w:r>
        <w:rPr>
          <w:rFonts w:ascii="Cambria" w:hAnsi="Cambria" w:cs="Tahoma"/>
          <w:b/>
        </w:rPr>
        <w:t>Indikator : Jumlah Aset Idle yang Dipinjampakaikan</w:t>
      </w:r>
    </w:p>
    <w:p>
      <w:pPr>
        <w:tabs>
          <w:tab w:val="left" w:pos="0"/>
        </w:tabs>
        <w:spacing w:after="0" w:line="276" w:lineRule="auto"/>
        <w:jc w:val="center"/>
        <w:rPr>
          <w:rFonts w:cs="Tahoma"/>
          <w:b/>
          <w:sz w:val="24"/>
        </w:rPr>
      </w:pPr>
      <w:r>
        <w:rPr>
          <w:rFonts w:ascii="Cambria" w:hAnsi="Cambria" w:cs="Tahoma"/>
          <w:lang w:eastAsia="id-ID"/>
        </w:rPr>
        <w:drawing>
          <wp:anchor distT="0" distB="0" distL="114300" distR="114300" simplePos="0" relativeHeight="251786240" behindDoc="0" locked="0" layoutInCell="1" allowOverlap="1">
            <wp:simplePos x="0" y="0"/>
            <wp:positionH relativeFrom="margin">
              <wp:posOffset>493395</wp:posOffset>
            </wp:positionH>
            <wp:positionV relativeFrom="paragraph">
              <wp:posOffset>203835</wp:posOffset>
            </wp:positionV>
            <wp:extent cx="4529455" cy="2009140"/>
            <wp:effectExtent l="0" t="0" r="4445" b="10160"/>
            <wp:wrapSquare wrapText="bothSides"/>
            <wp:docPr id="32" name="Chart 32"/>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anchor>
        </w:drawing>
      </w:r>
    </w:p>
    <w:p>
      <w:pPr>
        <w:spacing w:after="240" w:line="276" w:lineRule="auto"/>
        <w:jc w:val="both"/>
        <w:rPr>
          <w:rFonts w:ascii="Cambria" w:hAnsi="Cambria" w:cs="Tahoma"/>
        </w:rPr>
      </w:pPr>
      <w:r>
        <w:rPr/>
        <w:br w:type="textWrapping" w:clear="all"/>
      </w:r>
    </w:p>
    <w:p>
      <w:pPr>
        <w:spacing w:after="240" w:line="276" w:lineRule="auto"/>
        <w:ind w:firstLine="709"/>
        <w:jc w:val="both"/>
        <w:rPr>
          <w:rFonts w:ascii="Cambria" w:hAnsi="Cambria" w:cs="Tahoma"/>
        </w:rPr>
      </w:pPr>
      <w:r>
        <w:rPr>
          <w:rFonts w:ascii="Cambria" w:hAnsi="Cambria" w:cs="Tahoma"/>
        </w:rPr>
        <w:t xml:space="preserve">Dari grafik diatas, dapat dilihat bahwa pada tahun 2014, target jumlah aset idle yang dipinjampakaikan dan disewakan adalah berjumlah 172 objek yang tersebar pada Kabupaten/Kota dan dapat terealisasi 100%. Demikian juga pada tahun 2015, 20 objek aset idle dapat dipinjampakaikan maupun disewakan sesuai jumlah yang ditargetkan.  </w:t>
      </w:r>
    </w:p>
    <w:p>
      <w:pPr>
        <w:tabs>
          <w:tab w:val="left" w:pos="720"/>
        </w:tabs>
        <w:spacing w:after="120" w:line="276" w:lineRule="auto"/>
        <w:ind w:left="720" w:hanging="720"/>
        <w:jc w:val="both"/>
        <w:rPr>
          <w:rFonts w:ascii="Cambria" w:hAnsi="Cambria" w:cs="Tahoma"/>
          <w:b/>
          <w:i/>
        </w:rPr>
      </w:pPr>
      <w:r>
        <w:rPr>
          <w:rFonts w:ascii="Cambria" w:hAnsi="Cambria" w:cs="Tahoma"/>
          <w:b/>
          <w:i/>
        </w:rPr>
        <w:t>2.3.8</w:t>
      </w:r>
      <w:r>
        <w:rPr>
          <w:rFonts w:ascii="Cambria" w:hAnsi="Cambria" w:cs="Tahoma"/>
          <w:b/>
          <w:i/>
        </w:rPr>
        <w:tab/>
      </w:r>
      <w:r>
        <w:rPr>
          <w:rFonts w:ascii="Cambria" w:hAnsi="Cambria" w:cs="Tahoma"/>
          <w:b/>
          <w:i/>
        </w:rPr>
        <w:t>Indikator Persentase Peningkatan Tanah dan Bangunan yang Diamankan</w:t>
      </w:r>
    </w:p>
    <w:p>
      <w:pPr>
        <w:spacing w:after="0" w:line="276" w:lineRule="auto"/>
        <w:jc w:val="both"/>
        <w:rPr>
          <w:rFonts w:ascii="Cambria" w:hAnsi="Cambria" w:cs="Tahoma"/>
        </w:rPr>
      </w:pPr>
      <w:r>
        <w:rPr>
          <w:rFonts w:ascii="Cambria" w:hAnsi="Cambria" w:cs="Tahoma"/>
        </w:rPr>
        <w:tab/>
      </w:r>
      <w:r>
        <w:rPr>
          <w:rFonts w:ascii="Cambria" w:hAnsi="Cambria" w:cs="Tahoma"/>
        </w:rPr>
        <w:t xml:space="preserve">Indikator ini menghitung persentase jumlah tanah dan bangunan milik Pemprov. Sumatera Barat yang diamankan. Sesuai dengan Permendagri Nomor 19 tahun 2016 tentang Pedoman Pengelolaan Barang Milik Daerah bahwa Pengamanan Aset Tetap dilakukan dengan 2 cara yakni ; </w:t>
      </w:r>
    </w:p>
    <w:p>
      <w:pPr>
        <w:spacing w:after="0" w:line="276" w:lineRule="auto"/>
        <w:jc w:val="both"/>
        <w:rPr>
          <w:rFonts w:ascii="Cambria" w:hAnsi="Cambria" w:cs="Tahoma"/>
        </w:rPr>
      </w:pPr>
      <w:r>
        <w:rPr>
          <w:rFonts w:ascii="Cambria" w:hAnsi="Cambria" w:cs="Tahoma"/>
        </w:rPr>
        <w:t xml:space="preserve">1). Pengamanan Administratif, maksudnya pengamanan dari segi keabsahan bukti legalisasi kepemilikan Aset Tetap (misalnya bukti kepemilikan sertifikat) dan                                                                 2). Pengamanan Fisik, maksudnya menganankan Aset Tetap secara fisik agar tidak diserobot atau diakui pihak lain. </w:t>
      </w:r>
    </w:p>
    <w:p>
      <w:pPr>
        <w:tabs>
          <w:tab w:val="left" w:pos="709"/>
        </w:tabs>
        <w:spacing w:after="0" w:line="276" w:lineRule="auto"/>
        <w:jc w:val="both"/>
        <w:rPr>
          <w:rFonts w:ascii="Cambria" w:hAnsi="Cambria" w:cs="Tahoma"/>
        </w:rPr>
      </w:pPr>
      <w:r>
        <w:rPr>
          <w:rFonts w:ascii="Cambria" w:hAnsi="Cambria" w:cs="Tahoma"/>
        </w:rPr>
        <w:tab/>
      </w:r>
      <w:r>
        <w:rPr>
          <w:rFonts w:ascii="Cambria" w:hAnsi="Cambria" w:cs="Tahoma"/>
        </w:rPr>
        <w:t>Pengamanan Fisik yang telah dilakukan oleh Biro Administrasi Pengadaan dan Pengelolaan Barang Milik Daerah berupa pemasangan plang Tanah milik Pemerintah Prov. Sumatera Barat dan label Bangunan Milik Pemerintah Prov. Sumatera Barat. Pemasangan plank dan label ini dilakukan secara bertahap, sesuai anggaran yang tersedia sejak tahun 2014.Melalui grafik dibawah ini dapat dilihat peningkatan kinerja pada indikator ini :</w:t>
      </w:r>
    </w:p>
    <w:p>
      <w:pPr>
        <w:tabs>
          <w:tab w:val="left" w:pos="0"/>
        </w:tabs>
        <w:spacing w:after="0" w:line="276" w:lineRule="auto"/>
        <w:jc w:val="center"/>
        <w:rPr>
          <w:rFonts w:ascii="Cambria" w:hAnsi="Cambria" w:cs="Tahoma"/>
          <w:b/>
        </w:rPr>
      </w:pPr>
    </w:p>
    <w:p>
      <w:pPr>
        <w:tabs>
          <w:tab w:val="left" w:pos="0"/>
        </w:tabs>
        <w:spacing w:after="0" w:line="276" w:lineRule="auto"/>
        <w:jc w:val="center"/>
        <w:rPr>
          <w:rFonts w:ascii="Cambria" w:hAnsi="Cambria" w:cs="Tahoma"/>
          <w:b/>
        </w:rPr>
      </w:pPr>
      <w:r>
        <w:rPr>
          <w:rFonts w:ascii="Cambria" w:hAnsi="Cambria" w:cs="Tahoma"/>
          <w:b/>
        </w:rPr>
        <w:t>Grafik 2.10</w:t>
      </w:r>
    </w:p>
    <w:p>
      <w:pPr>
        <w:tabs>
          <w:tab w:val="left" w:pos="0"/>
        </w:tabs>
        <w:spacing w:after="0" w:line="276" w:lineRule="auto"/>
        <w:jc w:val="center"/>
        <w:rPr>
          <w:rFonts w:ascii="Cambria" w:hAnsi="Cambria" w:cs="Tahoma"/>
          <w:b/>
        </w:rPr>
      </w:pPr>
      <w:r>
        <w:rPr>
          <w:rFonts w:ascii="Cambria" w:hAnsi="Cambria" w:cs="Tahoma"/>
          <w:b/>
        </w:rPr>
        <w:t>Indikator : Persentase Tanah yang Diamankan</w:t>
      </w:r>
    </w:p>
    <w:p>
      <w:pPr>
        <w:spacing w:after="0" w:line="276" w:lineRule="auto"/>
        <w:jc w:val="both"/>
        <w:rPr>
          <w:rFonts w:ascii="Cambria" w:hAnsi="Cambria" w:cs="Tahoma"/>
        </w:rPr>
      </w:pPr>
    </w:p>
    <w:p>
      <w:pPr>
        <w:spacing w:after="0" w:line="276" w:lineRule="auto"/>
        <w:jc w:val="both"/>
        <w:rPr>
          <w:rFonts w:cs="Tahoma"/>
          <w:sz w:val="24"/>
        </w:rPr>
      </w:pPr>
      <w:r>
        <w:rPr>
          <w:rFonts w:ascii="Cambria" w:hAnsi="Cambria" w:cs="Tahoma"/>
          <w:lang w:eastAsia="id-ID"/>
        </w:rPr>
        <w:drawing>
          <wp:anchor distT="0" distB="0" distL="114300" distR="114300" simplePos="0" relativeHeight="251779072" behindDoc="0" locked="0" layoutInCell="1" allowOverlap="1">
            <wp:simplePos x="0" y="0"/>
            <wp:positionH relativeFrom="page">
              <wp:posOffset>1743710</wp:posOffset>
            </wp:positionH>
            <wp:positionV relativeFrom="paragraph">
              <wp:posOffset>9525</wp:posOffset>
            </wp:positionV>
            <wp:extent cx="4061460" cy="2498090"/>
            <wp:effectExtent l="0" t="0" r="15240" b="16510"/>
            <wp:wrapSquare wrapText="bothSides"/>
            <wp:docPr id="33" name="Chart 33"/>
            <wp:cNvGraphicFramePr/>
            <a:graphic xmlns:a="http://schemas.openxmlformats.org/drawingml/2006/main">
              <a:graphicData uri="http://schemas.openxmlformats.org/drawingml/2006/chart">
                <c:chart xmlns:c="http://schemas.openxmlformats.org/drawingml/2006/chart" xmlns:r="http://schemas.openxmlformats.org/officeDocument/2006/relationships" r:id="rId22"/>
              </a:graphicData>
            </a:graphic>
          </wp:anchor>
        </w:drawing>
      </w:r>
    </w:p>
    <w:p>
      <w:pPr>
        <w:spacing w:after="0" w:line="276" w:lineRule="auto"/>
        <w:jc w:val="both"/>
        <w:rPr>
          <w:rFonts w:cs="Tahoma"/>
          <w:sz w:val="24"/>
        </w:rPr>
      </w:pPr>
    </w:p>
    <w:p>
      <w:pPr>
        <w:spacing w:after="0" w:line="276" w:lineRule="auto"/>
        <w:jc w:val="both"/>
        <w:rPr>
          <w:rFonts w:cs="Tahoma"/>
          <w:sz w:val="24"/>
        </w:rPr>
      </w:pPr>
    </w:p>
    <w:p>
      <w:pPr>
        <w:spacing w:after="0" w:line="276" w:lineRule="auto"/>
        <w:jc w:val="both"/>
        <w:rPr>
          <w:rFonts w:cs="Tahoma"/>
          <w:sz w:val="24"/>
        </w:rPr>
      </w:pPr>
    </w:p>
    <w:p>
      <w:pPr>
        <w:spacing w:after="0" w:line="276" w:lineRule="auto"/>
        <w:jc w:val="both"/>
        <w:rPr>
          <w:rFonts w:cs="Tahoma"/>
          <w:sz w:val="24"/>
        </w:rPr>
      </w:pPr>
    </w:p>
    <w:p>
      <w:pPr>
        <w:spacing w:after="0" w:line="276" w:lineRule="auto"/>
        <w:jc w:val="both"/>
        <w:rPr>
          <w:rFonts w:cs="Tahoma"/>
          <w:sz w:val="24"/>
        </w:rPr>
      </w:pPr>
    </w:p>
    <w:p>
      <w:pPr>
        <w:spacing w:after="0" w:line="276" w:lineRule="auto"/>
        <w:jc w:val="both"/>
        <w:rPr>
          <w:rFonts w:cs="Tahoma"/>
          <w:sz w:val="24"/>
        </w:rPr>
      </w:pPr>
    </w:p>
    <w:p>
      <w:pPr>
        <w:spacing w:after="0" w:line="276" w:lineRule="auto"/>
        <w:jc w:val="both"/>
        <w:rPr>
          <w:rFonts w:cs="Tahoma"/>
          <w:sz w:val="24"/>
        </w:rPr>
      </w:pPr>
    </w:p>
    <w:p>
      <w:pPr>
        <w:spacing w:after="0" w:line="276" w:lineRule="auto"/>
        <w:jc w:val="both"/>
        <w:rPr>
          <w:rFonts w:cs="Tahoma"/>
          <w:sz w:val="24"/>
        </w:rPr>
      </w:pPr>
    </w:p>
    <w:p>
      <w:pPr>
        <w:spacing w:after="0" w:line="276" w:lineRule="auto"/>
        <w:jc w:val="both"/>
        <w:rPr>
          <w:rFonts w:cs="Tahoma"/>
          <w:sz w:val="24"/>
        </w:rPr>
      </w:pPr>
    </w:p>
    <w:p>
      <w:pPr>
        <w:spacing w:after="0" w:line="276" w:lineRule="auto"/>
        <w:jc w:val="both"/>
        <w:rPr>
          <w:rFonts w:cs="Tahoma"/>
          <w:sz w:val="24"/>
        </w:rPr>
      </w:pPr>
    </w:p>
    <w:p>
      <w:pPr>
        <w:spacing w:after="0" w:line="276" w:lineRule="auto"/>
        <w:jc w:val="both"/>
        <w:rPr>
          <w:rFonts w:cs="Tahoma"/>
          <w:sz w:val="24"/>
        </w:rPr>
      </w:pPr>
    </w:p>
    <w:p>
      <w:pPr>
        <w:spacing w:after="0" w:line="276" w:lineRule="auto"/>
        <w:jc w:val="both"/>
        <w:rPr>
          <w:rFonts w:cs="Tahoma"/>
          <w:sz w:val="24"/>
        </w:rPr>
      </w:pPr>
    </w:p>
    <w:p>
      <w:pPr>
        <w:spacing w:after="0" w:line="276" w:lineRule="auto"/>
        <w:ind w:firstLine="709"/>
        <w:jc w:val="both"/>
        <w:rPr>
          <w:rFonts w:ascii="Cambria" w:hAnsi="Cambria" w:cs="Tahoma"/>
        </w:rPr>
      </w:pPr>
      <w:r>
        <w:rPr>
          <w:rFonts w:ascii="Cambria" w:hAnsi="Cambria" w:cs="Tahoma"/>
        </w:rPr>
        <w:t>Dari grafik diatas dapat dilihat pada tahun 2014, target persentase tanah yang diamankan atau dipasang plang adalah 18% dari jumlah tanah Pemprov. Sumbar secara keseluruhan, dan dapat tercapai yaitu 20 persil tanah yang diamankan. Sedangkan untuk tahun 2015, dari target 20% tanah yang diamankan hanya tercapai 15% saja atau sebanyak 75 persil tanah yang diamankan. Hal ini terjadi karena terjadinya penambahan jumlah total Tanah milik Pemerintah Provinsi Sumatera Barat menjadi 420 persil.</w:t>
      </w:r>
    </w:p>
    <w:p>
      <w:pPr>
        <w:spacing w:after="0" w:line="276" w:lineRule="auto"/>
        <w:jc w:val="both"/>
        <w:rPr>
          <w:rFonts w:ascii="Cambria" w:hAnsi="Cambria" w:cs="Tahoma"/>
        </w:rPr>
      </w:pPr>
    </w:p>
    <w:p>
      <w:pPr>
        <w:spacing w:after="0" w:line="276" w:lineRule="auto"/>
        <w:jc w:val="both"/>
        <w:rPr>
          <w:rFonts w:ascii="Cambria" w:hAnsi="Cambria" w:cs="Tahoma"/>
        </w:rPr>
      </w:pPr>
      <w:r>
        <w:rPr>
          <w:rFonts w:ascii="Cambria" w:hAnsi="Cambria" w:cs="Tahoma"/>
        </w:rPr>
        <w:t>Sementara itu peningkatan persentase bangunan yang diberi label dapat dilihat dari grafik dibawah ini :</w:t>
      </w:r>
    </w:p>
    <w:p>
      <w:pPr>
        <w:tabs>
          <w:tab w:val="left" w:pos="0"/>
        </w:tabs>
        <w:spacing w:after="0" w:line="240" w:lineRule="auto"/>
        <w:jc w:val="center"/>
        <w:rPr>
          <w:rFonts w:ascii="Cambria" w:hAnsi="Cambria" w:cs="Tahoma"/>
          <w:b/>
        </w:rPr>
      </w:pPr>
      <w:r>
        <w:rPr>
          <w:rFonts w:ascii="Cambria" w:hAnsi="Cambria" w:cs="Tahoma"/>
          <w:b/>
        </w:rPr>
        <w:t>Grafik 2.11</w:t>
      </w:r>
    </w:p>
    <w:p>
      <w:pPr>
        <w:tabs>
          <w:tab w:val="left" w:pos="0"/>
        </w:tabs>
        <w:spacing w:after="0" w:line="240" w:lineRule="auto"/>
        <w:jc w:val="center"/>
        <w:rPr>
          <w:rFonts w:ascii="Cambria" w:hAnsi="Cambria" w:cs="Tahoma"/>
          <w:b/>
        </w:rPr>
      </w:pPr>
      <w:r>
        <w:rPr>
          <w:rFonts w:ascii="Cambria" w:hAnsi="Cambria" w:cs="Tahoma"/>
          <w:b/>
        </w:rPr>
        <w:t>Indikator : Persentase Bangunan yang Diamankan</w:t>
      </w:r>
    </w:p>
    <w:p>
      <w:pPr>
        <w:spacing w:after="0" w:line="276" w:lineRule="auto"/>
        <w:jc w:val="both"/>
        <w:rPr>
          <w:rFonts w:ascii="Cambria" w:hAnsi="Cambria" w:cs="Tahoma"/>
        </w:rPr>
      </w:pPr>
    </w:p>
    <w:p>
      <w:pPr>
        <w:spacing w:after="240" w:line="276" w:lineRule="auto"/>
        <w:jc w:val="both"/>
        <w:rPr>
          <w:rFonts w:cs="Tahoma"/>
          <w:sz w:val="24"/>
        </w:rPr>
      </w:pPr>
      <w:r>
        <w:rPr>
          <w:rFonts w:ascii="Cambria" w:hAnsi="Cambria" w:cs="Tahoma"/>
          <w:lang w:eastAsia="id-ID"/>
        </w:rPr>
        <w:drawing>
          <wp:anchor distT="0" distB="0" distL="114300" distR="114300" simplePos="0" relativeHeight="251780096" behindDoc="0" locked="0" layoutInCell="1" allowOverlap="1">
            <wp:simplePos x="0" y="0"/>
            <wp:positionH relativeFrom="page">
              <wp:align>center</wp:align>
            </wp:positionH>
            <wp:positionV relativeFrom="paragraph">
              <wp:posOffset>32385</wp:posOffset>
            </wp:positionV>
            <wp:extent cx="5001260" cy="2943860"/>
            <wp:effectExtent l="0" t="0" r="8890" b="8890"/>
            <wp:wrapSquare wrapText="bothSides"/>
            <wp:docPr id="46" name="Chart 46"/>
            <wp:cNvGraphicFramePr/>
            <a:graphic xmlns:a="http://schemas.openxmlformats.org/drawingml/2006/main">
              <a:graphicData uri="http://schemas.openxmlformats.org/drawingml/2006/chart">
                <c:chart xmlns:c="http://schemas.openxmlformats.org/drawingml/2006/chart" xmlns:r="http://schemas.openxmlformats.org/officeDocument/2006/relationships" r:id="rId23"/>
              </a:graphicData>
            </a:graphic>
          </wp:anchor>
        </w:drawing>
      </w:r>
    </w:p>
    <w:p>
      <w:pPr>
        <w:spacing w:after="240" w:line="276" w:lineRule="auto"/>
        <w:jc w:val="both"/>
        <w:rPr>
          <w:rFonts w:cs="Tahoma"/>
          <w:sz w:val="24"/>
        </w:rPr>
      </w:pPr>
    </w:p>
    <w:p>
      <w:pPr>
        <w:spacing w:after="240" w:line="276" w:lineRule="auto"/>
        <w:jc w:val="both"/>
        <w:rPr>
          <w:rFonts w:cs="Tahoma"/>
          <w:sz w:val="24"/>
        </w:rPr>
      </w:pPr>
    </w:p>
    <w:p>
      <w:pPr>
        <w:spacing w:after="240" w:line="276" w:lineRule="auto"/>
        <w:jc w:val="both"/>
        <w:rPr>
          <w:rFonts w:cs="Tahoma"/>
          <w:sz w:val="24"/>
        </w:rPr>
      </w:pPr>
    </w:p>
    <w:p>
      <w:pPr>
        <w:spacing w:after="240" w:line="276" w:lineRule="auto"/>
        <w:jc w:val="both"/>
        <w:rPr>
          <w:rFonts w:cs="Tahoma"/>
          <w:sz w:val="24"/>
        </w:rPr>
      </w:pPr>
    </w:p>
    <w:p>
      <w:pPr>
        <w:spacing w:after="240" w:line="276" w:lineRule="auto"/>
        <w:jc w:val="both"/>
        <w:rPr>
          <w:rFonts w:cs="Tahoma"/>
          <w:sz w:val="24"/>
        </w:rPr>
      </w:pPr>
    </w:p>
    <w:p>
      <w:pPr>
        <w:spacing w:after="240" w:line="276" w:lineRule="auto"/>
        <w:jc w:val="both"/>
        <w:rPr>
          <w:rFonts w:cs="Tahoma"/>
          <w:sz w:val="24"/>
        </w:rPr>
      </w:pPr>
    </w:p>
    <w:p>
      <w:pPr>
        <w:spacing w:after="240" w:line="276" w:lineRule="auto"/>
        <w:jc w:val="both"/>
        <w:rPr>
          <w:rFonts w:cs="Tahoma"/>
          <w:sz w:val="24"/>
        </w:rPr>
      </w:pPr>
    </w:p>
    <w:p>
      <w:pPr>
        <w:spacing w:after="240" w:line="276" w:lineRule="auto"/>
        <w:jc w:val="both"/>
        <w:rPr>
          <w:rFonts w:ascii="Cambria" w:hAnsi="Cambria" w:cs="Tahoma"/>
        </w:rPr>
      </w:pPr>
    </w:p>
    <w:p>
      <w:pPr>
        <w:spacing w:after="240" w:line="276" w:lineRule="auto"/>
        <w:jc w:val="both"/>
        <w:rPr>
          <w:rFonts w:ascii="Cambria" w:hAnsi="Cambria" w:cs="Tahoma"/>
        </w:rPr>
      </w:pPr>
      <w:r>
        <w:rPr>
          <w:rFonts w:ascii="Cambria" w:hAnsi="Cambria" w:cs="Tahoma"/>
        </w:rPr>
        <w:t>Dari grafik diatas dapat dilihat pada tahun 2014 target persentase bangunan yang diberi label adalah 7% dan dapat terealisasi semua yakni sebanyak 150 unit bangunan. Sedangkan untuk tahun 2015, target ditingkatkan menjadi 10%, dan dapat terealisasi melebihi target yaitu 15% atau sebanyak 60 unit bangunan.</w:t>
      </w:r>
    </w:p>
    <w:p>
      <w:pPr>
        <w:tabs>
          <w:tab w:val="left" w:pos="720"/>
        </w:tabs>
        <w:spacing w:after="120" w:line="276" w:lineRule="auto"/>
        <w:ind w:left="720" w:hanging="720"/>
        <w:jc w:val="both"/>
        <w:rPr>
          <w:rFonts w:ascii="Cambria" w:hAnsi="Cambria" w:cs="Tahoma"/>
          <w:b/>
          <w:i/>
        </w:rPr>
      </w:pPr>
      <w:r>
        <w:rPr>
          <w:rFonts w:ascii="Cambria" w:hAnsi="Cambria" w:cs="Tahoma"/>
          <w:b/>
          <w:i/>
        </w:rPr>
        <w:t>2.3.9</w:t>
      </w:r>
      <w:r>
        <w:rPr>
          <w:rFonts w:ascii="Cambria" w:hAnsi="Cambria" w:cs="Tahoma"/>
          <w:b/>
          <w:i/>
        </w:rPr>
        <w:tab/>
      </w:r>
      <w:r>
        <w:rPr>
          <w:rFonts w:ascii="Cambria" w:hAnsi="Cambria" w:cs="Tahoma"/>
          <w:b/>
          <w:i/>
        </w:rPr>
        <w:t>Indikator Persentase Jumlah Aset Daerah yang Terintegrasi dalam Geographics Information System (GIS)</w:t>
      </w:r>
    </w:p>
    <w:p>
      <w:pPr>
        <w:tabs>
          <w:tab w:val="left" w:pos="0"/>
        </w:tabs>
        <w:spacing w:after="120" w:line="276" w:lineRule="auto"/>
        <w:jc w:val="both"/>
        <w:rPr>
          <w:rFonts w:ascii="Cambria" w:hAnsi="Cambria" w:cs="Tahoma"/>
        </w:rPr>
      </w:pPr>
      <w:r>
        <w:rPr>
          <w:rFonts w:ascii="Cambria" w:hAnsi="Cambria" w:cs="Tahoma"/>
          <w:b/>
          <w:i/>
        </w:rPr>
        <w:tab/>
      </w:r>
      <w:r>
        <w:rPr>
          <w:rFonts w:ascii="Cambria" w:hAnsi="Cambria" w:cs="Tahoma"/>
        </w:rPr>
        <w:t xml:space="preserve">Indikator ini menghitung persentase Aset milik Pemerintah Prov. Sumatera Barat yang telah terintegrasi dalam </w:t>
      </w:r>
      <w:r>
        <w:rPr>
          <w:rFonts w:ascii="Cambria" w:hAnsi="Cambria" w:cs="Tahoma"/>
          <w:i/>
        </w:rPr>
        <w:t>Geographics Information System</w:t>
      </w:r>
      <w:r>
        <w:rPr>
          <w:rFonts w:ascii="Cambria" w:hAnsi="Cambria" w:cs="Tahoma"/>
        </w:rPr>
        <w:t xml:space="preserve"> (GIS). GIS merupakan suatu sistem yang dapat memberikan informasi tentang titik koordinat (posisi) Aset, yang berguna bagi SKPD Pengguna untuk mengetahui posisi pasti Aset mereka yang dapat tersebar pada Kabupaten/Kota dalam rangka pengawasan dan pengamanan aset. Aplikasi GIS ini terintegrasi dalam Sistem Informasi Manajemen Barang Daerah (SIMBADA) sehingga setiap Aset yang tercatat dalam SIMBADA dapat langsung diketahui titik koordinatnya.</w:t>
      </w:r>
    </w:p>
    <w:p>
      <w:pPr>
        <w:tabs>
          <w:tab w:val="left" w:pos="0"/>
        </w:tabs>
        <w:spacing w:after="120" w:line="276" w:lineRule="auto"/>
        <w:jc w:val="both"/>
        <w:rPr>
          <w:rFonts w:ascii="Cambria" w:hAnsi="Cambria" w:cs="Tahoma"/>
        </w:rPr>
      </w:pPr>
      <w:r>
        <w:rPr>
          <w:rFonts w:ascii="Cambria" w:hAnsi="Cambria" w:cs="Tahoma"/>
        </w:rPr>
        <w:tab/>
      </w:r>
      <w:r>
        <w:rPr>
          <w:rFonts w:ascii="Cambria" w:hAnsi="Cambria" w:cs="Tahoma"/>
        </w:rPr>
        <w:t>Untuk 2 tahun kebelakang, peningkatan indikator ini dapat dilihat dari grafik dibawah ini :</w:t>
      </w:r>
    </w:p>
    <w:p>
      <w:pPr>
        <w:tabs>
          <w:tab w:val="left" w:pos="0"/>
        </w:tabs>
        <w:spacing w:after="0" w:line="240" w:lineRule="auto"/>
        <w:jc w:val="center"/>
        <w:rPr>
          <w:rFonts w:ascii="Cambria" w:hAnsi="Cambria" w:cs="Tahoma"/>
          <w:b/>
        </w:rPr>
      </w:pPr>
    </w:p>
    <w:p>
      <w:pPr>
        <w:tabs>
          <w:tab w:val="left" w:pos="0"/>
        </w:tabs>
        <w:spacing w:after="0" w:line="240" w:lineRule="auto"/>
        <w:jc w:val="center"/>
        <w:rPr>
          <w:rFonts w:ascii="Cambria" w:hAnsi="Cambria" w:cs="Tahoma"/>
          <w:b/>
        </w:rPr>
      </w:pPr>
    </w:p>
    <w:p>
      <w:pPr>
        <w:tabs>
          <w:tab w:val="left" w:pos="0"/>
        </w:tabs>
        <w:spacing w:after="0" w:line="240" w:lineRule="auto"/>
        <w:jc w:val="center"/>
        <w:rPr>
          <w:rFonts w:ascii="Cambria" w:hAnsi="Cambria" w:cs="Tahoma"/>
          <w:b/>
        </w:rPr>
      </w:pPr>
    </w:p>
    <w:p>
      <w:pPr>
        <w:tabs>
          <w:tab w:val="left" w:pos="0"/>
        </w:tabs>
        <w:spacing w:after="0" w:line="240" w:lineRule="auto"/>
        <w:jc w:val="center"/>
        <w:rPr>
          <w:rFonts w:ascii="Cambria" w:hAnsi="Cambria" w:cs="Tahoma"/>
          <w:b/>
        </w:rPr>
      </w:pPr>
    </w:p>
    <w:p>
      <w:pPr>
        <w:tabs>
          <w:tab w:val="left" w:pos="0"/>
        </w:tabs>
        <w:spacing w:after="0" w:line="240" w:lineRule="auto"/>
        <w:jc w:val="center"/>
        <w:rPr>
          <w:rFonts w:ascii="Cambria" w:hAnsi="Cambria" w:cs="Tahoma"/>
          <w:b/>
        </w:rPr>
      </w:pPr>
    </w:p>
    <w:p>
      <w:pPr>
        <w:tabs>
          <w:tab w:val="left" w:pos="0"/>
        </w:tabs>
        <w:spacing w:after="0" w:line="240" w:lineRule="auto"/>
        <w:jc w:val="center"/>
        <w:rPr>
          <w:rFonts w:ascii="Cambria" w:hAnsi="Cambria" w:cs="Tahoma"/>
          <w:b/>
        </w:rPr>
      </w:pPr>
    </w:p>
    <w:p>
      <w:pPr>
        <w:tabs>
          <w:tab w:val="left" w:pos="0"/>
        </w:tabs>
        <w:spacing w:after="0" w:line="240" w:lineRule="auto"/>
        <w:jc w:val="center"/>
        <w:rPr>
          <w:rFonts w:ascii="Cambria" w:hAnsi="Cambria" w:cs="Tahoma"/>
          <w:b/>
        </w:rPr>
      </w:pPr>
    </w:p>
    <w:p>
      <w:pPr>
        <w:tabs>
          <w:tab w:val="left" w:pos="0"/>
        </w:tabs>
        <w:spacing w:after="0" w:line="240" w:lineRule="auto"/>
        <w:jc w:val="center"/>
        <w:rPr>
          <w:rFonts w:ascii="Cambria" w:hAnsi="Cambria" w:cs="Tahoma"/>
          <w:b/>
        </w:rPr>
      </w:pPr>
    </w:p>
    <w:p>
      <w:pPr>
        <w:tabs>
          <w:tab w:val="left" w:pos="0"/>
        </w:tabs>
        <w:spacing w:after="0" w:line="240" w:lineRule="auto"/>
        <w:jc w:val="center"/>
        <w:rPr>
          <w:rFonts w:ascii="Cambria" w:hAnsi="Cambria" w:cs="Tahoma"/>
          <w:b/>
        </w:rPr>
      </w:pPr>
      <w:r>
        <w:rPr>
          <w:rFonts w:ascii="Cambria" w:hAnsi="Cambria" w:cs="Tahoma"/>
          <w:b/>
        </w:rPr>
        <w:t>Grafik 2.12</w:t>
      </w:r>
    </w:p>
    <w:p>
      <w:pPr>
        <w:tabs>
          <w:tab w:val="left" w:pos="0"/>
        </w:tabs>
        <w:spacing w:after="0" w:line="240" w:lineRule="auto"/>
        <w:jc w:val="center"/>
        <w:rPr>
          <w:rFonts w:ascii="Cambria" w:hAnsi="Cambria" w:cs="Tahoma"/>
          <w:b/>
        </w:rPr>
      </w:pPr>
      <w:r>
        <w:rPr>
          <w:rFonts w:ascii="Cambria" w:hAnsi="Cambria" w:cs="Tahoma"/>
          <w:b/>
        </w:rPr>
        <w:t>Indikator : Persentase Aset yang Terintegrasi dalam GIS</w:t>
      </w:r>
    </w:p>
    <w:p>
      <w:pPr>
        <w:tabs>
          <w:tab w:val="left" w:pos="0"/>
        </w:tabs>
        <w:spacing w:after="120" w:line="276" w:lineRule="auto"/>
        <w:jc w:val="both"/>
        <w:rPr>
          <w:rFonts w:ascii="Cambria" w:hAnsi="Cambria" w:cs="Tahoma"/>
        </w:rPr>
      </w:pPr>
    </w:p>
    <w:p>
      <w:pPr>
        <w:spacing w:after="240" w:line="276" w:lineRule="auto"/>
        <w:jc w:val="both"/>
        <w:rPr>
          <w:rFonts w:ascii="Cambria" w:hAnsi="Cambria" w:cs="Tahoma"/>
        </w:rPr>
      </w:pPr>
      <w:r>
        <w:rPr>
          <w:rFonts w:ascii="Cambria" w:hAnsi="Cambria" w:cs="Tahoma"/>
          <w:lang w:eastAsia="id-ID"/>
        </w:rPr>
        <w:drawing>
          <wp:anchor distT="0" distB="0" distL="114300" distR="114300" simplePos="0" relativeHeight="251781120" behindDoc="0" locked="0" layoutInCell="1" allowOverlap="1">
            <wp:simplePos x="0" y="0"/>
            <wp:positionH relativeFrom="margin">
              <wp:posOffset>556895</wp:posOffset>
            </wp:positionH>
            <wp:positionV relativeFrom="paragraph">
              <wp:posOffset>14605</wp:posOffset>
            </wp:positionV>
            <wp:extent cx="4454525" cy="1945640"/>
            <wp:effectExtent l="0" t="0" r="3175" b="16510"/>
            <wp:wrapSquare wrapText="bothSides"/>
            <wp:docPr id="13" name="Chart 13"/>
            <wp:cNvGraphicFramePr/>
            <a:graphic xmlns:a="http://schemas.openxmlformats.org/drawingml/2006/main">
              <a:graphicData uri="http://schemas.openxmlformats.org/drawingml/2006/chart">
                <c:chart xmlns:c="http://schemas.openxmlformats.org/drawingml/2006/chart" xmlns:r="http://schemas.openxmlformats.org/officeDocument/2006/relationships" r:id="rId24"/>
              </a:graphicData>
            </a:graphic>
          </wp:anchor>
        </w:drawing>
      </w:r>
    </w:p>
    <w:p>
      <w:pPr>
        <w:spacing w:after="240" w:line="276" w:lineRule="auto"/>
        <w:jc w:val="both"/>
        <w:rPr>
          <w:rFonts w:ascii="Cambria" w:hAnsi="Cambria" w:cs="Tahoma"/>
        </w:rPr>
      </w:pPr>
    </w:p>
    <w:p>
      <w:pPr>
        <w:spacing w:after="240" w:line="276" w:lineRule="auto"/>
        <w:jc w:val="both"/>
        <w:rPr>
          <w:rFonts w:ascii="Cambria" w:hAnsi="Cambria" w:cs="Tahoma"/>
        </w:rPr>
      </w:pPr>
    </w:p>
    <w:p>
      <w:pPr>
        <w:spacing w:after="240" w:line="276" w:lineRule="auto"/>
        <w:jc w:val="both"/>
        <w:rPr>
          <w:rFonts w:ascii="Cambria" w:hAnsi="Cambria" w:cs="Tahoma"/>
        </w:rPr>
      </w:pPr>
    </w:p>
    <w:p>
      <w:pPr>
        <w:spacing w:after="240" w:line="276" w:lineRule="auto"/>
        <w:jc w:val="both"/>
        <w:rPr>
          <w:rFonts w:ascii="Cambria" w:hAnsi="Cambria" w:cs="Tahoma"/>
        </w:rPr>
      </w:pPr>
    </w:p>
    <w:p>
      <w:pPr>
        <w:spacing w:after="240" w:line="276" w:lineRule="auto"/>
        <w:jc w:val="both"/>
        <w:rPr>
          <w:rFonts w:ascii="Cambria" w:hAnsi="Cambria" w:cs="Tahoma"/>
        </w:rPr>
      </w:pPr>
    </w:p>
    <w:p>
      <w:pPr>
        <w:spacing w:after="240" w:line="276" w:lineRule="auto"/>
        <w:ind w:firstLine="709"/>
        <w:jc w:val="both"/>
        <w:rPr>
          <w:rFonts w:ascii="Cambria" w:hAnsi="Cambria" w:cs="Tahoma"/>
        </w:rPr>
      </w:pPr>
      <w:r>
        <w:rPr>
          <w:rFonts w:ascii="Cambria" w:hAnsi="Cambria" w:cs="Tahoma"/>
        </w:rPr>
        <w:t>Dari grafik diatas dapat dilihat bahwa target Aset yang sudah terintegrasi dalam GIS adalah 25% dan dapat tercapai 25%. Begitu juga dengan tahun 2015, target aset yang terintegrasi dalam GIS adalah 50% dan dapat tercapai semuanya.</w:t>
      </w:r>
    </w:p>
    <w:p>
      <w:pPr>
        <w:tabs>
          <w:tab w:val="left" w:pos="720"/>
        </w:tabs>
        <w:spacing w:after="120" w:line="276" w:lineRule="auto"/>
        <w:ind w:left="720" w:hanging="720"/>
        <w:jc w:val="both"/>
        <w:rPr>
          <w:rFonts w:ascii="Cambria" w:hAnsi="Cambria" w:cs="Tahoma"/>
          <w:b/>
          <w:i/>
        </w:rPr>
      </w:pPr>
      <w:r>
        <w:rPr>
          <w:rFonts w:ascii="Cambria" w:hAnsi="Cambria" w:cs="Tahoma"/>
          <w:b/>
          <w:i/>
        </w:rPr>
        <w:t>2.3.10</w:t>
      </w:r>
      <w:r>
        <w:rPr>
          <w:rFonts w:ascii="Cambria" w:hAnsi="Cambria" w:cs="Tahoma"/>
          <w:b/>
          <w:i/>
        </w:rPr>
        <w:tab/>
      </w:r>
      <w:r>
        <w:rPr>
          <w:rFonts w:ascii="Cambria" w:hAnsi="Cambria" w:cs="Tahoma"/>
          <w:b/>
          <w:i/>
        </w:rPr>
        <w:t>Indikator Persentase Peningkatan Proses Pengadaan Barang/Jasa Tepat Waktu</w:t>
      </w:r>
    </w:p>
    <w:p>
      <w:pPr>
        <w:spacing w:after="0" w:line="276" w:lineRule="auto"/>
        <w:jc w:val="both"/>
        <w:rPr>
          <w:rFonts w:ascii="Cambria" w:hAnsi="Cambria" w:cs="Tahoma"/>
        </w:rPr>
      </w:pPr>
      <w:r>
        <w:rPr>
          <w:rFonts w:ascii="Cambria" w:hAnsi="Cambria" w:cs="Tahoma"/>
          <w:b/>
          <w:i/>
        </w:rPr>
        <w:tab/>
      </w:r>
      <w:r>
        <w:rPr>
          <w:rFonts w:ascii="Cambria" w:hAnsi="Cambria" w:cs="Tahoma"/>
        </w:rPr>
        <w:t xml:space="preserve">Dengan bergabungnya Unit Layanan Pengadaan (ULP) Prov. Sumatera Barat ke struktur Biro Administrasi Pengadaan dan Pengelolaan Barang Milik Daerah meskipun masih bersifat </w:t>
      </w:r>
      <w:r>
        <w:rPr>
          <w:rFonts w:ascii="Cambria" w:hAnsi="Cambria" w:cs="Tahoma"/>
          <w:i/>
        </w:rPr>
        <w:t xml:space="preserve">ad-hoc, </w:t>
      </w:r>
      <w:r>
        <w:rPr>
          <w:rFonts w:ascii="Cambria" w:hAnsi="Cambria" w:cs="Tahoma"/>
        </w:rPr>
        <w:t>tetap harus dinilai kinerjanya tanpa pelaporan terpisah dengan tupoksi awal Biro Aset. Untuk mengakomodir kinerja ULP, ditetapkan indikator ini yang menghitung berapa persentase proses pengadaan barang/jasa yang dapat dipselesaikan tepat waktu. Capaian indokator ini dapat dilihat pada grafik dibawah ini :</w:t>
      </w:r>
    </w:p>
    <w:p>
      <w:pPr>
        <w:tabs>
          <w:tab w:val="left" w:pos="0"/>
        </w:tabs>
        <w:spacing w:after="0" w:line="276" w:lineRule="auto"/>
        <w:jc w:val="center"/>
        <w:rPr>
          <w:rFonts w:ascii="Cambria" w:hAnsi="Cambria" w:cs="Tahoma"/>
          <w:b/>
        </w:rPr>
      </w:pPr>
    </w:p>
    <w:p>
      <w:pPr>
        <w:tabs>
          <w:tab w:val="left" w:pos="0"/>
        </w:tabs>
        <w:spacing w:after="0" w:line="240" w:lineRule="auto"/>
        <w:jc w:val="center"/>
        <w:rPr>
          <w:rFonts w:ascii="Cambria" w:hAnsi="Cambria" w:cs="Tahoma"/>
          <w:b/>
        </w:rPr>
      </w:pPr>
      <w:r>
        <w:rPr>
          <w:rFonts w:ascii="Cambria" w:hAnsi="Cambria" w:cs="Tahoma"/>
          <w:b/>
        </w:rPr>
        <w:t>Grafik 2.13</w:t>
      </w:r>
    </w:p>
    <w:p>
      <w:pPr>
        <w:tabs>
          <w:tab w:val="left" w:pos="0"/>
        </w:tabs>
        <w:spacing w:after="0" w:line="240" w:lineRule="auto"/>
        <w:jc w:val="center"/>
        <w:rPr>
          <w:rFonts w:ascii="Cambria" w:hAnsi="Cambria" w:cs="Tahoma"/>
          <w:b/>
        </w:rPr>
      </w:pPr>
      <w:r>
        <w:rPr>
          <w:rFonts w:ascii="Cambria" w:hAnsi="Cambria" w:cs="Tahoma"/>
          <w:b/>
        </w:rPr>
        <w:t>Indikator : Persentase Peningkatan Proses Barang/Jasa</w:t>
      </w:r>
    </w:p>
    <w:p>
      <w:pPr>
        <w:tabs>
          <w:tab w:val="left" w:pos="0"/>
        </w:tabs>
        <w:spacing w:after="0" w:line="240" w:lineRule="auto"/>
        <w:jc w:val="center"/>
        <w:rPr>
          <w:rFonts w:ascii="Cambria" w:hAnsi="Cambria" w:cs="Tahoma"/>
          <w:b/>
        </w:rPr>
      </w:pPr>
      <w:r>
        <w:rPr>
          <w:rFonts w:ascii="Cambria" w:hAnsi="Cambria" w:cs="Tahoma"/>
          <w:b/>
        </w:rPr>
        <w:t xml:space="preserve"> yang Diselesaikan Tepat Waktu</w:t>
      </w:r>
    </w:p>
    <w:p>
      <w:pPr>
        <w:spacing w:after="0" w:line="276" w:lineRule="auto"/>
        <w:jc w:val="both"/>
        <w:rPr>
          <w:rFonts w:ascii="Cambria" w:hAnsi="Cambria" w:cs="Tahoma"/>
        </w:rPr>
      </w:pPr>
      <w:r>
        <w:rPr>
          <w:rFonts w:ascii="Cambria" w:hAnsi="Cambria" w:cs="Tahoma"/>
          <w:lang w:eastAsia="id-ID"/>
        </w:rPr>
        <w:drawing>
          <wp:anchor distT="0" distB="0" distL="114300" distR="114300" simplePos="0" relativeHeight="251782144" behindDoc="0" locked="0" layoutInCell="1" allowOverlap="1">
            <wp:simplePos x="0" y="0"/>
            <wp:positionH relativeFrom="margin">
              <wp:posOffset>280670</wp:posOffset>
            </wp:positionH>
            <wp:positionV relativeFrom="paragraph">
              <wp:posOffset>69215</wp:posOffset>
            </wp:positionV>
            <wp:extent cx="4359275" cy="2360295"/>
            <wp:effectExtent l="0" t="0" r="3175" b="1905"/>
            <wp:wrapTopAndBottom/>
            <wp:docPr id="47" name="Chart 47"/>
            <wp:cNvGraphicFramePr/>
            <a:graphic xmlns:a="http://schemas.openxmlformats.org/drawingml/2006/main">
              <a:graphicData uri="http://schemas.openxmlformats.org/drawingml/2006/chart">
                <c:chart xmlns:c="http://schemas.openxmlformats.org/drawingml/2006/chart" xmlns:r="http://schemas.openxmlformats.org/officeDocument/2006/relationships" r:id="rId25"/>
              </a:graphicData>
            </a:graphic>
          </wp:anchor>
        </w:drawing>
      </w:r>
    </w:p>
    <w:p>
      <w:pPr>
        <w:spacing w:after="120" w:line="276" w:lineRule="auto"/>
        <w:ind w:firstLine="709"/>
        <w:jc w:val="both"/>
        <w:rPr>
          <w:rFonts w:ascii="Cambria" w:hAnsi="Cambria" w:cs="Tahoma"/>
        </w:rPr>
      </w:pPr>
      <w:r>
        <w:rPr>
          <w:rFonts w:ascii="Cambria" w:hAnsi="Cambria" w:cs="Tahoma"/>
        </w:rPr>
        <w:t>Dari grafik diatas dapat dilihat pada tahun 2014 ditetapkan target 95% proses pengadaan barang/jasa dapat diselesaikan tepat waktu, dan dapat tercapai. Sedangkan untuk tahun 2015, dari target 95% dapat dicapai melebihi target yaitu sebesar 105%.</w:t>
      </w:r>
    </w:p>
    <w:p>
      <w:pPr>
        <w:spacing w:line="276" w:lineRule="auto"/>
        <w:ind w:firstLine="720"/>
        <w:jc w:val="both"/>
        <w:rPr>
          <w:rFonts w:ascii="Cambria" w:hAnsi="Cambria" w:cs="Tahoma"/>
        </w:rPr>
      </w:pPr>
      <w:r>
        <w:rPr>
          <w:rFonts w:ascii="Cambria" w:hAnsi="Cambria" w:cs="Tahoma"/>
        </w:rPr>
        <w:t>Disisi anggaran, Biro Administrasi Pengadaan dan Pengelolaan Barang Milik Daerah Provinsi Sumatera Barat dalam menjalankan program dan kegiatan mendapat dukungan dana APBD. Dukungan dana tersebut telah dimanfaatkan sesuai dengan ketentuan yang berlaku.  Pendistribusian anggaran pada masing-masing Bagian yang ada di Biro Administrasi Pengadaan dan Pengelolaan Barang Milik Daerah Provinsi Sumatera Barat juga telah dilakukan sesuai dengan fungsinya masing-masing.</w:t>
      </w:r>
    </w:p>
    <w:p>
      <w:pPr>
        <w:autoSpaceDE w:val="0"/>
        <w:autoSpaceDN w:val="0"/>
        <w:adjustRightInd w:val="0"/>
        <w:spacing w:before="120" w:line="276" w:lineRule="auto"/>
        <w:ind w:firstLine="851"/>
        <w:jc w:val="both"/>
        <w:rPr>
          <w:rFonts w:ascii="Cambria" w:hAnsi="Cambria" w:cs="Tahoma"/>
        </w:rPr>
      </w:pPr>
      <w:r>
        <w:rPr>
          <w:rFonts w:ascii="Cambria" w:hAnsi="Cambria" w:cs="Tahoma"/>
        </w:rPr>
        <w:t>Pada tabel berikut dapat dilihat gambaran perkembangan anggaran dan realisasi anggaran pada Biro Administrasi Pengadaan dan Pengelolaan Barang Milik Daerah Provinsi Sumatera Barat tahun 2012-2015.</w:t>
      </w:r>
    </w:p>
    <w:p>
      <w:pPr>
        <w:spacing w:before="120" w:after="0" w:line="240" w:lineRule="auto"/>
        <w:jc w:val="center"/>
        <w:rPr>
          <w:rFonts w:ascii="Cambria" w:hAnsi="Cambria" w:cs="Tahoma"/>
          <w:b/>
        </w:rPr>
      </w:pPr>
      <w:r>
        <w:rPr>
          <w:rFonts w:ascii="Cambria" w:hAnsi="Cambria" w:cs="Tahoma"/>
          <w:b/>
        </w:rPr>
        <w:t>Tabel 2.9</w:t>
      </w:r>
    </w:p>
    <w:p>
      <w:pPr>
        <w:spacing w:after="0" w:line="240" w:lineRule="auto"/>
        <w:jc w:val="center"/>
        <w:rPr>
          <w:rFonts w:ascii="Cambria" w:hAnsi="Cambria" w:cs="Tahoma"/>
          <w:b/>
        </w:rPr>
      </w:pPr>
      <w:r>
        <w:rPr>
          <w:rFonts w:ascii="Cambria" w:hAnsi="Cambria" w:cs="Tahoma"/>
          <w:b/>
        </w:rPr>
        <w:t xml:space="preserve">Anggaran dan Realisasi Pendanaan Pelayanan </w:t>
      </w:r>
    </w:p>
    <w:p>
      <w:pPr>
        <w:spacing w:after="0" w:line="240" w:lineRule="auto"/>
        <w:jc w:val="center"/>
        <w:rPr>
          <w:rFonts w:ascii="Cambria" w:hAnsi="Cambria" w:cs="Tahoma"/>
          <w:b/>
        </w:rPr>
      </w:pPr>
      <w:r>
        <w:rPr>
          <w:rFonts w:ascii="Cambria" w:hAnsi="Cambria" w:cs="Tahoma"/>
          <w:b/>
        </w:rPr>
        <w:t>Biro Administrasi Pengadaan dan Pengelolaan Barang Milik Daerah</w:t>
      </w:r>
    </w:p>
    <w:p>
      <w:pPr>
        <w:spacing w:line="240" w:lineRule="auto"/>
        <w:rPr>
          <w:rFonts w:ascii="Cambria" w:hAnsi="Cambria" w:cs="Tahoma"/>
          <w:b/>
        </w:rPr>
      </w:pPr>
    </w:p>
    <w:p>
      <w:pPr>
        <w:autoSpaceDE w:val="0"/>
        <w:autoSpaceDN w:val="0"/>
        <w:adjustRightInd w:val="0"/>
        <w:spacing w:before="120" w:line="276" w:lineRule="auto"/>
        <w:jc w:val="both"/>
        <w:rPr>
          <w:rFonts w:ascii="Cambria" w:hAnsi="Cambria" w:cs="Tahoma"/>
        </w:rPr>
      </w:pPr>
      <w:r>
        <w:rPr>
          <w:rFonts w:ascii="Cambria" w:hAnsi="Cambria" w:cs="Tahoma"/>
          <w:b/>
        </w:rPr>
        <w:object>
          <v:shape id="_x0000_i1026" o:spt="75" type="#_x0000_t75" style="height:75.75pt;width:503.25pt;" o:ole="t" filled="f" o:preferrelative="t" stroked="f" coordsize="21600,21600">
            <v:path/>
            <v:fill on="f" focussize="0,0"/>
            <v:stroke on="f" joinstyle="miter"/>
            <v:imagedata r:id="rId27" o:title=""/>
            <o:lock v:ext="edit" aspectratio="t"/>
            <w10:wrap type="none"/>
            <w10:anchorlock/>
          </v:shape>
          <o:OLEObject Type="Embed" ProgID="Excel.Sheet.12" ShapeID="_x0000_i1026" DrawAspect="Content" ObjectID="_1468075727" r:id="rId26">
            <o:LockedField>false</o:LockedField>
          </o:OLEObject>
        </w:object>
      </w:r>
      <w:r>
        <w:rPr>
          <w:rFonts w:ascii="Cambria" w:hAnsi="Cambria" w:cs="Tahoma"/>
        </w:rPr>
        <w:t>Sumber : Sub Bagian Tata Usaha</w:t>
      </w:r>
    </w:p>
    <w:p>
      <w:pPr>
        <w:spacing w:after="120" w:line="276" w:lineRule="auto"/>
        <w:ind w:right="-347" w:firstLine="540"/>
        <w:jc w:val="both"/>
        <w:rPr>
          <w:rFonts w:ascii="Cambria" w:hAnsi="Cambria" w:cs="Tahoma"/>
        </w:rPr>
      </w:pPr>
      <w:r>
        <w:rPr>
          <w:rFonts w:ascii="Cambria" w:hAnsi="Cambria" w:cs="Tahoma"/>
        </w:rPr>
        <w:t>Dari tabel diatas, dapat dilihat rasio realisasi penyerapan anggaran yang terendah terjadi pada tahun 2013 yaitu sebesar 82,16 persen. Pada tahun 2012 juga terjadi rasio antara serapan angggaran dan anggaran yang cukup besar, hal ini disebabkan beberapa faktor antara lain :</w:t>
      </w:r>
    </w:p>
    <w:p>
      <w:pPr>
        <w:numPr>
          <w:ilvl w:val="0"/>
          <w:numId w:val="17"/>
        </w:numPr>
        <w:tabs>
          <w:tab w:val="left" w:pos="426"/>
        </w:tabs>
        <w:spacing w:after="0" w:line="276" w:lineRule="auto"/>
        <w:ind w:left="426" w:hanging="426"/>
        <w:jc w:val="both"/>
        <w:rPr>
          <w:rFonts w:ascii="Cambria" w:hAnsi="Cambria" w:cs="Tahoma"/>
          <w:bCs/>
        </w:rPr>
      </w:pPr>
      <w:r>
        <w:rPr>
          <w:rFonts w:ascii="Cambria" w:hAnsi="Cambria" w:cs="Tahoma"/>
          <w:bCs/>
        </w:rPr>
        <w:t>Rasionalisasi perjalanan dinas keluar daerah.</w:t>
      </w:r>
    </w:p>
    <w:p>
      <w:pPr>
        <w:numPr>
          <w:ilvl w:val="0"/>
          <w:numId w:val="17"/>
        </w:numPr>
        <w:tabs>
          <w:tab w:val="left" w:pos="426"/>
        </w:tabs>
        <w:spacing w:after="0" w:line="276" w:lineRule="auto"/>
        <w:ind w:left="426" w:hanging="426"/>
        <w:jc w:val="both"/>
        <w:rPr>
          <w:rFonts w:ascii="Cambria" w:hAnsi="Cambria" w:cs="Tahoma"/>
          <w:bCs/>
        </w:rPr>
      </w:pPr>
      <w:r>
        <w:rPr>
          <w:rFonts w:ascii="Cambria" w:hAnsi="Cambria" w:cs="Tahoma"/>
          <w:bCs/>
        </w:rPr>
        <w:t>Rasionalisasi akomodasi kegiatan.</w:t>
      </w:r>
    </w:p>
    <w:p>
      <w:pPr>
        <w:numPr>
          <w:ilvl w:val="0"/>
          <w:numId w:val="17"/>
        </w:numPr>
        <w:tabs>
          <w:tab w:val="left" w:pos="426"/>
        </w:tabs>
        <w:spacing w:after="0" w:line="276" w:lineRule="auto"/>
        <w:ind w:left="426" w:hanging="426"/>
        <w:jc w:val="both"/>
        <w:rPr>
          <w:rFonts w:ascii="Cambria" w:hAnsi="Cambria" w:cs="Tahoma"/>
          <w:bCs/>
        </w:rPr>
      </w:pPr>
      <w:r>
        <w:rPr>
          <w:rFonts w:ascii="Cambria" w:hAnsi="Cambria" w:cs="Tahoma"/>
          <w:bCs/>
        </w:rPr>
        <w:t>Efisiensi penggunaan anggaran.</w:t>
      </w:r>
    </w:p>
    <w:p>
      <w:pPr>
        <w:numPr>
          <w:ilvl w:val="0"/>
          <w:numId w:val="17"/>
        </w:numPr>
        <w:tabs>
          <w:tab w:val="left" w:pos="426"/>
        </w:tabs>
        <w:spacing w:after="0" w:line="276" w:lineRule="auto"/>
        <w:ind w:left="426" w:hanging="426"/>
        <w:jc w:val="both"/>
        <w:rPr>
          <w:rFonts w:ascii="Cambria" w:hAnsi="Cambria" w:cs="Tahoma"/>
          <w:bCs/>
        </w:rPr>
      </w:pPr>
      <w:r>
        <w:rPr>
          <w:rFonts w:ascii="Cambria" w:hAnsi="Cambria" w:cs="Tahoma"/>
          <w:bCs/>
        </w:rPr>
        <w:t>Pemakaian sesuai dengan kebutuhan.</w:t>
      </w:r>
    </w:p>
    <w:p>
      <w:pPr>
        <w:numPr>
          <w:ilvl w:val="0"/>
          <w:numId w:val="17"/>
        </w:numPr>
        <w:tabs>
          <w:tab w:val="left" w:pos="426"/>
        </w:tabs>
        <w:spacing w:after="0" w:line="276" w:lineRule="auto"/>
        <w:ind w:left="426" w:hanging="426"/>
        <w:jc w:val="both"/>
        <w:rPr>
          <w:rFonts w:ascii="Cambria" w:hAnsi="Cambria" w:cs="Tahoma"/>
          <w:bCs/>
        </w:rPr>
      </w:pPr>
      <w:r>
        <w:rPr>
          <w:rFonts w:ascii="Cambria" w:hAnsi="Cambria" w:cs="Tahoma"/>
          <w:bCs/>
        </w:rPr>
        <w:t>Rendahnya realisasi kegiatan Legalitas Kepemilikan Tanah Pemerintah Daerah/ Pensertifikatan Tanah dikarenakan sangat panjangnya rentang kendali pada penyelesaian proses administrasi pengurusan sertifikat Tanah di BPN (faktor eksternal).</w:t>
      </w:r>
    </w:p>
    <w:p>
      <w:pPr>
        <w:spacing w:after="0" w:line="276" w:lineRule="auto"/>
        <w:jc w:val="both"/>
        <w:rPr>
          <w:rFonts w:ascii="Cambria" w:hAnsi="Cambria" w:cs="Tahoma"/>
        </w:rPr>
      </w:pPr>
    </w:p>
    <w:p>
      <w:pPr>
        <w:spacing w:after="0" w:line="276" w:lineRule="auto"/>
        <w:ind w:left="720" w:hanging="720"/>
        <w:jc w:val="both"/>
        <w:rPr>
          <w:rFonts w:ascii="Cambria" w:hAnsi="Cambria"/>
          <w:b/>
        </w:rPr>
      </w:pPr>
      <w:r>
        <w:rPr>
          <w:rFonts w:ascii="Cambria" w:hAnsi="Cambria"/>
          <w:b/>
        </w:rPr>
        <w:t xml:space="preserve">2.4. </w:t>
      </w:r>
      <w:r>
        <w:rPr>
          <w:rFonts w:ascii="Cambria" w:hAnsi="Cambria"/>
          <w:b/>
        </w:rPr>
        <w:tab/>
      </w:r>
      <w:r>
        <w:rPr>
          <w:rFonts w:ascii="Cambria" w:hAnsi="Cambria"/>
          <w:b/>
        </w:rPr>
        <w:t>Tantangan dan Peluang Pengembangan Pelayanan Biro Administrasi Pengadaan dan Pengelolaan Barang Milik Daerah</w:t>
      </w:r>
    </w:p>
    <w:p>
      <w:pPr>
        <w:spacing w:after="0" w:line="276" w:lineRule="auto"/>
        <w:ind w:left="720" w:hanging="720"/>
        <w:jc w:val="both"/>
        <w:rPr>
          <w:rFonts w:ascii="Cambria" w:hAnsi="Cambria"/>
          <w:b/>
        </w:rPr>
      </w:pPr>
    </w:p>
    <w:p>
      <w:pPr>
        <w:spacing w:line="276" w:lineRule="auto"/>
        <w:ind w:firstLine="720"/>
        <w:jc w:val="both"/>
        <w:rPr>
          <w:rFonts w:ascii="Cambria" w:hAnsi="Cambria" w:cs="Tahoma"/>
        </w:rPr>
      </w:pPr>
      <w:r>
        <w:rPr>
          <w:rFonts w:ascii="Cambria" w:hAnsi="Cambria" w:cs="Tahoma"/>
        </w:rPr>
        <w:t xml:space="preserve">Didalam mewujudkan sasaran strategis yang ditetapkan perlu memperhatikan lingkungan kerja karena dapat memberikan pengaruh positif terhadap pelaksanaan pelayanan sesuai dengan tugas dan fungsi organisasi. Lingkungan kerja diciptakan agar tetap berada dalam keadaan yang kondusif. </w:t>
      </w:r>
    </w:p>
    <w:p>
      <w:pPr>
        <w:spacing w:line="276" w:lineRule="auto"/>
        <w:ind w:firstLine="567"/>
        <w:jc w:val="both"/>
        <w:rPr>
          <w:rFonts w:ascii="Cambria" w:hAnsi="Cambria" w:cs="Tahoma"/>
        </w:rPr>
      </w:pPr>
      <w:r>
        <w:rPr>
          <w:rFonts w:ascii="Cambria" w:hAnsi="Cambria" w:cs="Tahoma"/>
        </w:rPr>
        <w:t xml:space="preserve"> Berdasarkan kinerja pelayanan yang disampaikan pada sub bab sebelumnya, dapat diidentifikasi tantangan dan peluang pengembangan pelayanan Biro Administrasi Pengadaan dan Pengelolaan Barang Milik Daerah berdasarkan tugas pokok dan fungsi utamanya berkaitan dengan perumusan kebijakan teknis, pelayanan umum dan pembinaan serta   pengelolaan Aset di Provinsi Sumatera Barat. Berikut ini tantangan dan peluang pengembangan pelayanan Biro Administrasi Pengadaan dan Pengelolaan Barang Milik Daerah Provinsi Sumatera Barat selama 5 (lima) tahun kedepan.</w:t>
      </w:r>
    </w:p>
    <w:p>
      <w:pPr>
        <w:pStyle w:val="15"/>
        <w:numPr>
          <w:ilvl w:val="0"/>
          <w:numId w:val="18"/>
        </w:numPr>
        <w:tabs>
          <w:tab w:val="left" w:pos="720"/>
        </w:tabs>
        <w:spacing w:after="0" w:line="276" w:lineRule="auto"/>
        <w:contextualSpacing w:val="0"/>
        <w:jc w:val="both"/>
        <w:rPr>
          <w:rFonts w:ascii="Cambria" w:hAnsi="Cambria" w:cs="Tahoma"/>
          <w:b/>
          <w:vanish/>
        </w:rPr>
      </w:pPr>
    </w:p>
    <w:p>
      <w:pPr>
        <w:pStyle w:val="15"/>
        <w:numPr>
          <w:ilvl w:val="1"/>
          <w:numId w:val="18"/>
        </w:numPr>
        <w:tabs>
          <w:tab w:val="left" w:pos="720"/>
        </w:tabs>
        <w:spacing w:after="0" w:line="276" w:lineRule="auto"/>
        <w:contextualSpacing w:val="0"/>
        <w:jc w:val="both"/>
        <w:rPr>
          <w:rFonts w:ascii="Cambria" w:hAnsi="Cambria" w:cs="Tahoma"/>
          <w:b/>
          <w:vanish/>
        </w:rPr>
      </w:pPr>
    </w:p>
    <w:p>
      <w:pPr>
        <w:pStyle w:val="15"/>
        <w:numPr>
          <w:ilvl w:val="2"/>
          <w:numId w:val="19"/>
        </w:numPr>
        <w:tabs>
          <w:tab w:val="left" w:pos="720"/>
        </w:tabs>
        <w:spacing w:after="0" w:line="276" w:lineRule="auto"/>
        <w:ind w:left="720"/>
        <w:jc w:val="both"/>
        <w:rPr>
          <w:rFonts w:ascii="Cambria" w:hAnsi="Cambria" w:cs="Tahoma"/>
          <w:b/>
        </w:rPr>
      </w:pPr>
      <w:r>
        <w:rPr>
          <w:rFonts w:ascii="Cambria" w:hAnsi="Cambria" w:cs="Tahoma"/>
          <w:b/>
        </w:rPr>
        <w:t>Tantangan</w:t>
      </w:r>
    </w:p>
    <w:p>
      <w:pPr>
        <w:spacing w:line="276" w:lineRule="auto"/>
        <w:ind w:firstLine="720"/>
        <w:jc w:val="both"/>
        <w:rPr>
          <w:rFonts w:ascii="Cambria" w:hAnsi="Cambria" w:cs="Tahoma"/>
        </w:rPr>
      </w:pPr>
      <w:r>
        <w:rPr>
          <w:rFonts w:ascii="Cambria" w:hAnsi="Cambria" w:cs="Tahoma"/>
        </w:rPr>
        <w:t>Tantangan merupakan segala aspek yang dapat menghambat kinerja pelayanan Biro Administrasi Pengadaan dan Pengelolaan Barang Milik Daerah Provinsi Sumatera Barat. Tantangan pengembangan pelayanan Biro Administrasi Pengadaan dan Pengelolaan Barang Milik Daerah Provinsi Sumatera Barat adalah sebagai berikut:</w:t>
      </w:r>
    </w:p>
    <w:p>
      <w:pPr>
        <w:numPr>
          <w:ilvl w:val="3"/>
          <w:numId w:val="20"/>
        </w:numPr>
        <w:tabs>
          <w:tab w:val="left" w:pos="567"/>
          <w:tab w:val="clear" w:pos="3060"/>
        </w:tabs>
        <w:spacing w:after="0" w:line="276" w:lineRule="auto"/>
        <w:ind w:left="567" w:hanging="567"/>
        <w:jc w:val="both"/>
        <w:rPr>
          <w:rFonts w:ascii="Cambria" w:hAnsi="Cambria" w:cs="Tahoma"/>
        </w:rPr>
      </w:pPr>
      <w:r>
        <w:rPr>
          <w:rFonts w:ascii="Cambria" w:hAnsi="Cambria" w:cs="Tahoma"/>
        </w:rPr>
        <w:t xml:space="preserve">Semakin kompleksnya pengurusan administrasi legalisasi Tanah milik Pemerintah Provinsi Sumatera Barat; </w:t>
      </w:r>
    </w:p>
    <w:p>
      <w:pPr>
        <w:numPr>
          <w:ilvl w:val="3"/>
          <w:numId w:val="20"/>
        </w:numPr>
        <w:tabs>
          <w:tab w:val="left" w:pos="567"/>
          <w:tab w:val="clear" w:pos="3060"/>
        </w:tabs>
        <w:spacing w:after="0" w:line="276" w:lineRule="auto"/>
        <w:ind w:left="567" w:hanging="567"/>
        <w:jc w:val="both"/>
        <w:rPr>
          <w:rFonts w:ascii="Cambria" w:hAnsi="Cambria" w:cs="Tahoma"/>
        </w:rPr>
      </w:pPr>
      <w:r>
        <w:rPr>
          <w:rFonts w:ascii="Cambria" w:hAnsi="Cambria" w:cs="Tahoma"/>
        </w:rPr>
        <w:t>Semakin kuatnya dorongan untuk meningkatkan keamanan, baik fisik dan administratif Aset Tetap khususnya Tanah dan Bangunan;</w:t>
      </w:r>
    </w:p>
    <w:p>
      <w:pPr>
        <w:numPr>
          <w:ilvl w:val="3"/>
          <w:numId w:val="20"/>
        </w:numPr>
        <w:tabs>
          <w:tab w:val="left" w:pos="567"/>
          <w:tab w:val="clear" w:pos="3060"/>
        </w:tabs>
        <w:spacing w:after="0" w:line="276" w:lineRule="auto"/>
        <w:ind w:left="567" w:hanging="567"/>
        <w:jc w:val="both"/>
        <w:rPr>
          <w:rFonts w:ascii="Cambria" w:hAnsi="Cambria" w:cs="Tahoma"/>
        </w:rPr>
      </w:pPr>
      <w:r>
        <w:rPr>
          <w:rFonts w:ascii="Cambria" w:hAnsi="Cambria" w:cs="Tahoma"/>
        </w:rPr>
        <w:t>Tunggakan penyelesaian sewa beli serta eksekusi Rumah Dinas milik Pemerintah Prov. Sumatera Barat.</w:t>
      </w:r>
    </w:p>
    <w:p>
      <w:pPr>
        <w:numPr>
          <w:ilvl w:val="3"/>
          <w:numId w:val="20"/>
        </w:numPr>
        <w:tabs>
          <w:tab w:val="left" w:pos="567"/>
          <w:tab w:val="clear" w:pos="3060"/>
        </w:tabs>
        <w:spacing w:after="0" w:line="276" w:lineRule="auto"/>
        <w:ind w:left="567" w:hanging="567"/>
        <w:jc w:val="both"/>
        <w:rPr>
          <w:rFonts w:ascii="Cambria" w:hAnsi="Cambria" w:cs="Tahoma"/>
        </w:rPr>
      </w:pPr>
      <w:r>
        <w:rPr>
          <w:rFonts w:ascii="Cambria" w:hAnsi="Cambria" w:cs="Tahoma"/>
        </w:rPr>
        <w:t>Terbatasnya kemampuan aparatur di bidang aset.</w:t>
      </w:r>
    </w:p>
    <w:p>
      <w:pPr>
        <w:spacing w:after="0" w:line="276" w:lineRule="auto"/>
        <w:ind w:left="567"/>
        <w:jc w:val="both"/>
        <w:rPr>
          <w:rFonts w:ascii="Cambria" w:hAnsi="Cambria" w:cs="Tahoma"/>
        </w:rPr>
      </w:pPr>
    </w:p>
    <w:p>
      <w:pPr>
        <w:pStyle w:val="15"/>
        <w:numPr>
          <w:ilvl w:val="2"/>
          <w:numId w:val="19"/>
        </w:numPr>
        <w:tabs>
          <w:tab w:val="left" w:pos="720"/>
        </w:tabs>
        <w:spacing w:after="0" w:line="276" w:lineRule="auto"/>
        <w:ind w:left="720"/>
        <w:jc w:val="both"/>
        <w:rPr>
          <w:rFonts w:ascii="Cambria" w:hAnsi="Cambria" w:cs="Tahoma"/>
          <w:b/>
        </w:rPr>
      </w:pPr>
      <w:r>
        <w:rPr>
          <w:rFonts w:ascii="Cambria" w:hAnsi="Cambria" w:cs="Tahoma"/>
          <w:b/>
        </w:rPr>
        <w:t>Peluang</w:t>
      </w:r>
    </w:p>
    <w:p>
      <w:pPr>
        <w:spacing w:line="276" w:lineRule="auto"/>
        <w:ind w:firstLine="720"/>
        <w:jc w:val="both"/>
        <w:rPr>
          <w:rFonts w:ascii="Cambria" w:hAnsi="Cambria" w:cs="Tahoma"/>
        </w:rPr>
      </w:pPr>
      <w:r>
        <w:rPr>
          <w:rFonts w:ascii="Cambria" w:hAnsi="Cambria" w:cs="Tahoma"/>
        </w:rPr>
        <w:t>Peluang merupakan segala sesuatu yang dapat dimanfaatkan dari potensi atau kemampuan. Peluang yang dimiliki Biro Administrasi Pengadaan dan Pengelolaan Barang Milik Daerah Provinsi Sumatera Barat adalah sebagai berikut;</w:t>
      </w:r>
    </w:p>
    <w:p>
      <w:pPr>
        <w:numPr>
          <w:ilvl w:val="0"/>
          <w:numId w:val="21"/>
        </w:numPr>
        <w:tabs>
          <w:tab w:val="left" w:pos="567"/>
        </w:tabs>
        <w:spacing w:after="0" w:line="276" w:lineRule="auto"/>
        <w:ind w:left="567" w:hanging="567"/>
        <w:jc w:val="both"/>
        <w:rPr>
          <w:rFonts w:ascii="Cambria" w:hAnsi="Cambria" w:cs="Tahoma"/>
        </w:rPr>
      </w:pPr>
      <w:r>
        <w:rPr>
          <w:rFonts w:ascii="Cambria" w:hAnsi="Cambria" w:cs="Tahoma"/>
        </w:rPr>
        <w:t>Adanya komitmen yang kuat dari pemerintah untuk meningkatkan kualitas penatausahaan dan pengelolaan aset;</w:t>
      </w:r>
    </w:p>
    <w:p>
      <w:pPr>
        <w:numPr>
          <w:ilvl w:val="0"/>
          <w:numId w:val="21"/>
        </w:numPr>
        <w:tabs>
          <w:tab w:val="left" w:pos="567"/>
        </w:tabs>
        <w:spacing w:after="0" w:line="276" w:lineRule="auto"/>
        <w:ind w:left="567" w:hanging="567"/>
        <w:jc w:val="both"/>
        <w:rPr>
          <w:rFonts w:ascii="Cambria" w:hAnsi="Cambria" w:cs="Tahoma"/>
        </w:rPr>
      </w:pPr>
      <w:r>
        <w:rPr>
          <w:rFonts w:ascii="Cambria" w:hAnsi="Cambria" w:cs="Tahoma"/>
        </w:rPr>
        <w:t>Adanya dukungan dari DPRD Provinsi Sumatera Barat terkait penyelesaian permasalahan Aset dan peningkatan keamanan Aset.</w:t>
      </w:r>
    </w:p>
    <w:sectPr>
      <w:headerReference r:id="rId5" w:type="default"/>
      <w:footerReference r:id="rId6" w:type="default"/>
      <w:pgSz w:w="11906" w:h="16838"/>
      <w:pgMar w:top="1440" w:right="1440" w:bottom="1440" w:left="1701" w:header="708" w:footer="708" w:gutter="0"/>
      <w:pgNumType w:start="22"/>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0"/>
    <w:family w:val="swiss"/>
    <w:pitch w:val="default"/>
    <w:sig w:usb0="E0002EFF" w:usb1="C0007843"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Calibri">
    <w:panose1 w:val="020F0502020204030204"/>
    <w:charset w:val="00"/>
    <w:family w:val="swiss"/>
    <w:pitch w:val="default"/>
    <w:sig w:usb0="E0002AFF" w:usb1="C0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Bookman Old Style">
    <w:panose1 w:val="02050604050505020204"/>
    <w:charset w:val="00"/>
    <w:family w:val="roman"/>
    <w:pitch w:val="default"/>
    <w:sig w:usb0="00000287" w:usb1="00000000" w:usb2="00000000" w:usb3="00000000" w:csb0="2000009F" w:csb1="DFD70000"/>
  </w:font>
  <w:font w:name="等线">
    <w:altName w:val="Arial Unicode MS"/>
    <w:panose1 w:val="00000000000000000000"/>
    <w:charset w:val="86"/>
    <w:family w:val="auto"/>
    <w:pitch w:val="default"/>
    <w:sig w:usb0="00000000" w:usb1="00000000" w:usb2="00000000" w:usb3="00000000" w:csb0="00000000" w:csb1="00000000"/>
  </w:font>
  <w:font w:name="Cambria">
    <w:panose1 w:val="02040503050406030204"/>
    <w:charset w:val="00"/>
    <w:family w:val="roman"/>
    <w:pitch w:val="default"/>
    <w:sig w:usb0="E00006FF" w:usb1="400004FF" w:usb2="00000000" w:usb3="00000000" w:csb0="2000019F" w:csb1="00000000"/>
  </w:font>
  <w:font w:name="Symbol">
    <w:panose1 w:val="05050102010706020507"/>
    <w:charset w:val="02"/>
    <w:family w:val="roman"/>
    <w:pitch w:val="default"/>
    <w:sig w:usb0="00000000" w:usb1="00000000" w:usb2="00000000" w:usb3="00000000" w:csb0="80000000" w:csb1="00000000"/>
  </w:font>
  <w:font w:name="Gisha">
    <w:altName w:val="Malgun Gothic Semilight"/>
    <w:panose1 w:val="00000000000000000000"/>
    <w:charset w:val="00"/>
    <w:family w:val="swiss"/>
    <w:pitch w:val="default"/>
    <w:sig w:usb0="00000000" w:usb1="00000000" w:usb2="00000000" w:usb3="00000000" w:csb0="00000021" w:csb1="00000000"/>
  </w:font>
  <w:font w:name="Arial Unicode MS">
    <w:panose1 w:val="020B0604020202020204"/>
    <w:charset w:val="80"/>
    <w:family w:val="swiss"/>
    <w:pitch w:val="default"/>
    <w:sig w:usb0="FFFFFFFF" w:usb1="E9FFFFFF" w:usb2="0000003F" w:usb3="00000000" w:csb0="603F01FF" w:csb1="FFFF0000"/>
  </w:font>
  <w:font w:name="Tahoma">
    <w:panose1 w:val="020B0604030504040204"/>
    <w:charset w:val="00"/>
    <w:family w:val="swiss"/>
    <w:pitch w:val="default"/>
    <w:sig w:usb0="E1002EFF" w:usb1="C000605B" w:usb2="00000029" w:usb3="00000000" w:csb0="200101FF" w:csb1="20280000"/>
  </w:font>
  <w:font w:name="Calibri Light">
    <w:panose1 w:val="020F0302020204030204"/>
    <w:charset w:val="00"/>
    <w:family w:val="swiss"/>
    <w:pitch w:val="default"/>
    <w:sig w:usb0="E0002AFF" w:usb1="C000247B" w:usb2="00000009" w:usb3="00000000" w:csb0="200001FF" w:csb1="00000000"/>
  </w:font>
  <w:font w:name="等线 Light">
    <w:altName w:val="Segoe Print"/>
    <w:panose1 w:val="00000000000000000000"/>
    <w:charset w:val="00"/>
    <w:family w:val="auto"/>
    <w:pitch w:val="default"/>
    <w:sig w:usb0="00000000" w:usb1="00000000" w:usb2="00000000" w:usb3="00000000" w:csb0="00000000" w:csb1="00000000"/>
  </w:font>
  <w:font w:name="Malgun Gothic Semilight">
    <w:panose1 w:val="020B0502040204020203"/>
    <w:charset w:val="86"/>
    <w:family w:val="auto"/>
    <w:pitch w:val="default"/>
    <w:sig w:usb0="900002AF" w:usb1="01D77CFB" w:usb2="00000012" w:usb3="00000000" w:csb0="203E01BD" w:csb1="D7FF0000"/>
  </w:font>
  <w:font w:name="Arial Unicode MS">
    <w:panose1 w:val="020B0604020202020204"/>
    <w:charset w:val="86"/>
    <w:family w:val="auto"/>
    <w:pitch w:val="default"/>
    <w:sig w:usb0="FFFFFFFF" w:usb1="E9FFFFFF" w:usb2="0000003F" w:usb3="00000000" w:csb0="603F01FF" w:csb1="FFFF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515111759"/>
      <w:docPartObj>
        <w:docPartGallery w:val="autotext"/>
      </w:docPartObj>
    </w:sdtPr>
    <w:sdtContent>
      <w:p>
        <w:pPr>
          <w:pStyle w:val="3"/>
          <w:jc w:val="right"/>
        </w:pPr>
        <w:r>
          <w:fldChar w:fldCharType="begin"/>
        </w:r>
        <w:r>
          <w:instrText xml:space="preserve"> PAGE   \* MERGEFORMAT </w:instrText>
        </w:r>
        <w:r>
          <w:fldChar w:fldCharType="separate"/>
        </w:r>
        <w:r>
          <w:t>21</w:t>
        </w:r>
        <w:r>
          <w:fldChar w:fldCharType="end"/>
        </w:r>
      </w:p>
    </w:sdtContent>
  </w:sdt>
  <w:p>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right"/>
      <w:rPr>
        <w:caps/>
        <w:color w:val="000000" w:themeColor="text1"/>
        <w14:textFill>
          <w14:solidFill>
            <w14:schemeClr w14:val="tx1"/>
          </w14:solidFill>
        </w14:textFill>
      </w:rPr>
    </w:pPr>
    <w:r>
      <w:rPr>
        <w:caps/>
        <w:color w:val="000000" w:themeColor="text1"/>
        <w14:textFill>
          <w14:solidFill>
            <w14:schemeClr w14:val="tx1"/>
          </w14:solidFill>
        </w14:textFill>
      </w:rPr>
      <w:fldChar w:fldCharType="begin"/>
    </w:r>
    <w:r>
      <w:rPr>
        <w:caps/>
        <w:color w:val="000000" w:themeColor="text1"/>
        <w14:textFill>
          <w14:solidFill>
            <w14:schemeClr w14:val="tx1"/>
          </w14:solidFill>
        </w14:textFill>
      </w:rPr>
      <w:instrText xml:space="preserve"> PAGE   \* MERGEFORMAT </w:instrText>
    </w:r>
    <w:r>
      <w:rPr>
        <w:caps/>
        <w:color w:val="000000" w:themeColor="text1"/>
        <w14:textFill>
          <w14:solidFill>
            <w14:schemeClr w14:val="tx1"/>
          </w14:solidFill>
        </w14:textFill>
      </w:rPr>
      <w:fldChar w:fldCharType="separate"/>
    </w:r>
    <w:r>
      <w:rPr>
        <w:caps/>
        <w:color w:val="000000" w:themeColor="text1"/>
        <w14:textFill>
          <w14:solidFill>
            <w14:schemeClr w14:val="tx1"/>
          </w14:solidFill>
        </w14:textFill>
      </w:rPr>
      <w:t>32</w:t>
    </w:r>
    <w:r>
      <w:rPr>
        <w:caps/>
        <w:color w:val="000000" w:themeColor="text1"/>
        <w14:textFill>
          <w14:solidFill>
            <w14:schemeClr w14:val="tx1"/>
          </w14:solidFill>
        </w14:textFill>
      </w:rPr>
      <w:fldChar w:fldCharType="end"/>
    </w:r>
  </w:p>
  <w:p>
    <w:pPr>
      <w:rPr>
        <w:color w:val="000000" w:themeColor="text1"/>
        <w14:textFill>
          <w14:solidFill>
            <w14:schemeClr w14:val="tx1"/>
          </w14:solidFill>
        </w14:textFill>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left w:val="single" w:color="5B9BD5" w:themeColor="accent1" w:sz="12" w:space="11"/>
      </w:pBdr>
      <w:tabs>
        <w:tab w:val="left" w:pos="3620"/>
        <w:tab w:val="left" w:pos="3964"/>
      </w:tabs>
      <w:spacing w:after="0"/>
      <w:rPr>
        <w:rFonts w:asciiTheme="majorHAnsi" w:hAnsiTheme="majorHAnsi" w:eastAsiaTheme="majorEastAsia" w:cstheme="majorBidi"/>
        <w:color w:val="2E75B6" w:themeColor="accent1" w:themeShade="BF"/>
        <w:sz w:val="20"/>
        <w:szCs w:val="20"/>
      </w:rPr>
    </w:pPr>
    <w:sdt>
      <w:sdtPr>
        <w:rPr>
          <w:rFonts w:asciiTheme="majorHAnsi" w:hAnsiTheme="majorHAnsi" w:eastAsiaTheme="majorEastAsia" w:cstheme="majorBidi"/>
          <w:color w:val="2E75B6" w:themeColor="accent1" w:themeShade="BF"/>
          <w:sz w:val="20"/>
          <w:szCs w:val="20"/>
        </w:rPr>
        <w:alias w:val="Title"/>
        <w:id w:val="1436095377"/>
        <w:placeholder>
          <w:docPart w:val="CA8E38EA676C4D90B58A2328B45D7959"/>
        </w:placeholder>
        <w15:dataBinding w:prefixMappings="xmlns:ns0='http://purl.org/dc/elements/1.1/' xmlns:ns1='http://schemas.openxmlformats.org/package/2006/metadata/core-properties' " w:xpath="/ns1:coreProperties[1]/ns0:title[1]" w:storeItemID="{6C3C8BC8-F283-45AE-878A-BAB7291924A1}"/>
        <w:text/>
      </w:sdtPr>
      <w:sdtEndPr>
        <w:rPr>
          <w:rFonts w:asciiTheme="majorHAnsi" w:hAnsiTheme="majorHAnsi" w:eastAsiaTheme="majorEastAsia" w:cstheme="majorBidi"/>
          <w:color w:val="2E75B6" w:themeColor="accent1" w:themeShade="BF"/>
          <w:sz w:val="20"/>
          <w:szCs w:val="20"/>
        </w:rPr>
      </w:sdtEndPr>
      <w:sdtContent>
        <w:r>
          <w:rPr>
            <w:rFonts w:asciiTheme="majorHAnsi" w:hAnsiTheme="majorHAnsi" w:eastAsiaTheme="majorEastAsia" w:cstheme="majorBidi"/>
            <w:color w:val="2E75B6" w:themeColor="accent1" w:themeShade="BF"/>
            <w:sz w:val="20"/>
            <w:szCs w:val="20"/>
          </w:rPr>
          <w:t>Perubahan Renstra Biro AP2BMD Tahun 2016-2021</w:t>
        </w:r>
      </w:sdtContent>
    </w:sdt>
  </w:p>
  <w:p>
    <w:pPr>
      <w:pStyle w:val="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left w:val="single" w:color="5B9BD5" w:themeColor="accent1" w:sz="12" w:space="11"/>
      </w:pBdr>
      <w:tabs>
        <w:tab w:val="left" w:pos="3620"/>
        <w:tab w:val="left" w:pos="3964"/>
      </w:tabs>
      <w:spacing w:after="0"/>
      <w:rPr>
        <w:rFonts w:asciiTheme="majorHAnsi" w:hAnsiTheme="majorHAnsi" w:eastAsiaTheme="majorEastAsia" w:cstheme="majorBidi"/>
        <w:color w:val="2E75B6" w:themeColor="accent1" w:themeShade="BF"/>
        <w:sz w:val="20"/>
        <w:szCs w:val="20"/>
      </w:rPr>
    </w:pPr>
    <w:sdt>
      <w:sdtPr>
        <w:rPr>
          <w:rFonts w:asciiTheme="majorHAnsi" w:hAnsiTheme="majorHAnsi" w:eastAsiaTheme="majorEastAsia" w:cstheme="majorBidi"/>
          <w:color w:val="2E75B6" w:themeColor="accent1" w:themeShade="BF"/>
          <w:sz w:val="20"/>
          <w:szCs w:val="20"/>
        </w:rPr>
        <w:alias w:val="Title"/>
        <w:id w:val="-1076904206"/>
        <w:placeholder>
          <w:docPart w:val="A7550FEE5D824BE5BA55542AE23DB0CE"/>
        </w:placeholder>
        <w15:dataBinding w:prefixMappings="xmlns:ns0='http://purl.org/dc/elements/1.1/' xmlns:ns1='http://schemas.openxmlformats.org/package/2006/metadata/core-properties' " w:xpath="/ns1:coreProperties[1]/ns0:title[1]" w:storeItemID="{6C3C8BC8-F283-45AE-878A-BAB7291924A1}"/>
        <w:text/>
      </w:sdtPr>
      <w:sdtEndPr>
        <w:rPr>
          <w:rFonts w:asciiTheme="majorHAnsi" w:hAnsiTheme="majorHAnsi" w:eastAsiaTheme="majorEastAsia" w:cstheme="majorBidi"/>
          <w:color w:val="2E75B6" w:themeColor="accent1" w:themeShade="BF"/>
          <w:sz w:val="20"/>
          <w:szCs w:val="20"/>
        </w:rPr>
      </w:sdtEndPr>
      <w:sdtContent>
        <w:r>
          <w:rPr>
            <w:rFonts w:asciiTheme="majorHAnsi" w:hAnsiTheme="majorHAnsi" w:eastAsiaTheme="majorEastAsia" w:cstheme="majorBidi"/>
            <w:color w:val="2E75B6" w:themeColor="accent1" w:themeShade="BF"/>
            <w:sz w:val="20"/>
            <w:szCs w:val="20"/>
          </w:rPr>
          <w:t>Perubahan Renstra Biro AP2BMD Tahun 2016-2021</w:t>
        </w:r>
      </w:sdtContent>
    </w:sdt>
  </w:p>
  <w:p>
    <w:pPr>
      <w:pStyle w:val="4"/>
    </w:pPr>
  </w:p>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F804A2A"/>
    <w:multiLevelType w:val="singleLevel"/>
    <w:tmpl w:val="8F804A2A"/>
    <w:lvl w:ilvl="0" w:tentative="0">
      <w:start w:val="1"/>
      <w:numFmt w:val="lowerLetter"/>
      <w:lvlText w:val="%1."/>
      <w:lvlJc w:val="left"/>
      <w:pPr>
        <w:tabs>
          <w:tab w:val="left" w:pos="425"/>
        </w:tabs>
        <w:ind w:left="425" w:leftChars="0" w:hanging="425" w:firstLineChars="0"/>
      </w:pPr>
      <w:rPr>
        <w:rFonts w:hint="default"/>
      </w:rPr>
    </w:lvl>
  </w:abstractNum>
  <w:abstractNum w:abstractNumId="1">
    <w:nsid w:val="058A2C41"/>
    <w:multiLevelType w:val="multilevel"/>
    <w:tmpl w:val="058A2C41"/>
    <w:lvl w:ilvl="0" w:tentative="0">
      <w:start w:val="1"/>
      <w:numFmt w:val="lowerLetter"/>
      <w:lvlText w:val="%1."/>
      <w:lvlJc w:val="left"/>
      <w:pPr>
        <w:tabs>
          <w:tab w:val="left" w:pos="1800"/>
        </w:tabs>
        <w:ind w:left="1800" w:hanging="360"/>
      </w:pPr>
      <w:rPr>
        <w:rFonts w:hint="default"/>
        <w:b w:val="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
    <w:nsid w:val="089E3E39"/>
    <w:multiLevelType w:val="multilevel"/>
    <w:tmpl w:val="089E3E39"/>
    <w:lvl w:ilvl="0" w:tentative="0">
      <w:start w:val="1"/>
      <w:numFmt w:val="decimal"/>
      <w:lvlText w:val="%1."/>
      <w:lvlJc w:val="left"/>
      <w:pPr>
        <w:tabs>
          <w:tab w:val="left" w:pos="1800"/>
        </w:tabs>
        <w:ind w:left="1800" w:hanging="360"/>
      </w:pPr>
      <w:rPr>
        <w:rFonts w:hint="default"/>
        <w:b w:val="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3">
    <w:nsid w:val="11F21D20"/>
    <w:multiLevelType w:val="multilevel"/>
    <w:tmpl w:val="11F21D20"/>
    <w:lvl w:ilvl="0" w:tentative="0">
      <w:start w:val="1"/>
      <w:numFmt w:val="lowerLetter"/>
      <w:lvlText w:val="%1."/>
      <w:lvlJc w:val="left"/>
      <w:pPr>
        <w:tabs>
          <w:tab w:val="left" w:pos="3960"/>
        </w:tabs>
        <w:ind w:left="39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
    <w:nsid w:val="13F24E8A"/>
    <w:multiLevelType w:val="multilevel"/>
    <w:tmpl w:val="13F24E8A"/>
    <w:lvl w:ilvl="0" w:tentative="0">
      <w:start w:val="1"/>
      <w:numFmt w:val="decimal"/>
      <w:lvlText w:val="%1."/>
      <w:lvlJc w:val="left"/>
      <w:pPr>
        <w:tabs>
          <w:tab w:val="left" w:pos="900"/>
        </w:tabs>
        <w:ind w:left="900" w:hanging="360"/>
      </w:pPr>
      <w:rPr>
        <w:rFonts w:ascii="Times New Roman" w:hAnsi="Times New Roman" w:eastAsia="Times New Roman" w:cs="Times New Roman"/>
      </w:rPr>
    </w:lvl>
    <w:lvl w:ilvl="1" w:tentative="0">
      <w:start w:val="1"/>
      <w:numFmt w:val="decimal"/>
      <w:lvlText w:val="%2."/>
      <w:lvlJc w:val="left"/>
      <w:pPr>
        <w:tabs>
          <w:tab w:val="left" w:pos="1695"/>
        </w:tabs>
        <w:ind w:left="1695" w:hanging="435"/>
      </w:pPr>
      <w:rPr>
        <w:rFonts w:hint="default"/>
      </w:rPr>
    </w:lvl>
    <w:lvl w:ilvl="2" w:tentative="0">
      <w:start w:val="1"/>
      <w:numFmt w:val="upperLetter"/>
      <w:lvlText w:val="%3."/>
      <w:lvlJc w:val="left"/>
      <w:pPr>
        <w:tabs>
          <w:tab w:val="left" w:pos="2520"/>
        </w:tabs>
        <w:ind w:left="2520" w:hanging="360"/>
      </w:pPr>
      <w:rPr>
        <w:rFonts w:hint="default"/>
      </w:rPr>
    </w:lvl>
    <w:lvl w:ilvl="3" w:tentative="0">
      <w:start w:val="1"/>
      <w:numFmt w:val="decimal"/>
      <w:lvlText w:val="%4."/>
      <w:lvlJc w:val="left"/>
      <w:pPr>
        <w:tabs>
          <w:tab w:val="left" w:pos="3060"/>
        </w:tabs>
        <w:ind w:left="3060" w:hanging="360"/>
      </w:pPr>
      <w:rPr>
        <w:rFonts w:hint="default"/>
      </w:rPr>
    </w:lvl>
    <w:lvl w:ilvl="4" w:tentative="0">
      <w:start w:val="1"/>
      <w:numFmt w:val="lowerLetter"/>
      <w:lvlText w:val="%5."/>
      <w:lvlJc w:val="left"/>
      <w:pPr>
        <w:tabs>
          <w:tab w:val="left" w:pos="3825"/>
        </w:tabs>
        <w:ind w:left="3825" w:hanging="405"/>
      </w:pPr>
      <w:rPr>
        <w:rFonts w:hint="default"/>
      </w:rPr>
    </w:lvl>
    <w:lvl w:ilvl="5" w:tentative="0">
      <w:start w:val="1"/>
      <w:numFmt w:val="lowerRoman"/>
      <w:lvlText w:val="%6."/>
      <w:lvlJc w:val="right"/>
      <w:pPr>
        <w:tabs>
          <w:tab w:val="left" w:pos="4500"/>
        </w:tabs>
        <w:ind w:left="4500" w:hanging="180"/>
      </w:pPr>
    </w:lvl>
    <w:lvl w:ilvl="6" w:tentative="0">
      <w:start w:val="1"/>
      <w:numFmt w:val="decimal"/>
      <w:lvlText w:val="%7."/>
      <w:lvlJc w:val="left"/>
      <w:pPr>
        <w:tabs>
          <w:tab w:val="left" w:pos="5220"/>
        </w:tabs>
        <w:ind w:left="5220" w:hanging="360"/>
      </w:pPr>
    </w:lvl>
    <w:lvl w:ilvl="7" w:tentative="0">
      <w:start w:val="1"/>
      <w:numFmt w:val="lowerLetter"/>
      <w:lvlText w:val="%8."/>
      <w:lvlJc w:val="left"/>
      <w:pPr>
        <w:tabs>
          <w:tab w:val="left" w:pos="5940"/>
        </w:tabs>
        <w:ind w:left="5940" w:hanging="360"/>
      </w:pPr>
    </w:lvl>
    <w:lvl w:ilvl="8" w:tentative="0">
      <w:start w:val="1"/>
      <w:numFmt w:val="lowerRoman"/>
      <w:lvlText w:val="%9."/>
      <w:lvlJc w:val="right"/>
      <w:pPr>
        <w:tabs>
          <w:tab w:val="left" w:pos="6660"/>
        </w:tabs>
        <w:ind w:left="6660" w:hanging="180"/>
      </w:pPr>
    </w:lvl>
  </w:abstractNum>
  <w:abstractNum w:abstractNumId="5">
    <w:nsid w:val="23A66045"/>
    <w:multiLevelType w:val="multilevel"/>
    <w:tmpl w:val="23A66045"/>
    <w:lvl w:ilvl="0" w:tentative="0">
      <w:start w:val="1"/>
      <w:numFmt w:val="lowerLetter"/>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6">
    <w:nsid w:val="24810F9F"/>
    <w:multiLevelType w:val="multilevel"/>
    <w:tmpl w:val="24810F9F"/>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7">
    <w:nsid w:val="31025D30"/>
    <w:multiLevelType w:val="multilevel"/>
    <w:tmpl w:val="31025D30"/>
    <w:lvl w:ilvl="0" w:tentative="0">
      <w:start w:val="1"/>
      <w:numFmt w:val="lowerLetter"/>
      <w:lvlText w:val="%1."/>
      <w:lvlJc w:val="left"/>
      <w:pPr>
        <w:tabs>
          <w:tab w:val="left" w:pos="1080"/>
        </w:tabs>
        <w:ind w:left="1080" w:hanging="360"/>
      </w:pPr>
      <w:rPr>
        <w:rFonts w:hint="default"/>
      </w:rPr>
    </w:lvl>
    <w:lvl w:ilvl="1" w:tentative="0">
      <w:start w:val="1"/>
      <w:numFmt w:val="decimal"/>
      <w:lvlText w:val="%2."/>
      <w:lvlJc w:val="left"/>
      <w:pPr>
        <w:tabs>
          <w:tab w:val="left" w:pos="1800"/>
        </w:tabs>
        <w:ind w:left="1800" w:hanging="360"/>
      </w:pPr>
      <w:rPr>
        <w:rFonts w:hint="default"/>
        <w:b w:val="0"/>
      </w:rPr>
    </w:lvl>
    <w:lvl w:ilvl="2" w:tentative="0">
      <w:start w:val="1"/>
      <w:numFmt w:val="lowerRoman"/>
      <w:lvlText w:val="%3."/>
      <w:lvlJc w:val="right"/>
      <w:pPr>
        <w:tabs>
          <w:tab w:val="left" w:pos="2520"/>
        </w:tabs>
        <w:ind w:left="2520" w:hanging="180"/>
      </w:pPr>
    </w:lvl>
    <w:lvl w:ilvl="3" w:tentative="0">
      <w:start w:val="1"/>
      <w:numFmt w:val="upperLetter"/>
      <w:lvlText w:val="%4."/>
      <w:lvlJc w:val="left"/>
      <w:pPr>
        <w:tabs>
          <w:tab w:val="left" w:pos="3240"/>
        </w:tabs>
        <w:ind w:left="3240" w:hanging="360"/>
      </w:pPr>
      <w:rPr>
        <w:rFonts w:hint="default"/>
      </w:rPr>
    </w:lvl>
    <w:lvl w:ilvl="4" w:tentative="0">
      <w:start w:val="1"/>
      <w:numFmt w:val="lowerLetter"/>
      <w:lvlText w:val="%5."/>
      <w:lvlJc w:val="left"/>
      <w:pPr>
        <w:tabs>
          <w:tab w:val="left" w:pos="3960"/>
        </w:tabs>
        <w:ind w:left="3960" w:hanging="360"/>
      </w:pPr>
    </w:lvl>
    <w:lvl w:ilvl="5" w:tentative="0">
      <w:start w:val="1"/>
      <w:numFmt w:val="lowerRoman"/>
      <w:lvlText w:val="%6."/>
      <w:lvlJc w:val="right"/>
      <w:pPr>
        <w:tabs>
          <w:tab w:val="left" w:pos="4680"/>
        </w:tabs>
        <w:ind w:left="4680" w:hanging="180"/>
      </w:pPr>
    </w:lvl>
    <w:lvl w:ilvl="6" w:tentative="0">
      <w:start w:val="1"/>
      <w:numFmt w:val="decimal"/>
      <w:lvlText w:val="%7."/>
      <w:lvlJc w:val="left"/>
      <w:pPr>
        <w:tabs>
          <w:tab w:val="left" w:pos="5400"/>
        </w:tabs>
        <w:ind w:left="5400" w:hanging="360"/>
      </w:pPr>
    </w:lvl>
    <w:lvl w:ilvl="7" w:tentative="0">
      <w:start w:val="1"/>
      <w:numFmt w:val="lowerLetter"/>
      <w:lvlText w:val="%8."/>
      <w:lvlJc w:val="left"/>
      <w:pPr>
        <w:tabs>
          <w:tab w:val="left" w:pos="6120"/>
        </w:tabs>
        <w:ind w:left="6120" w:hanging="360"/>
      </w:pPr>
    </w:lvl>
    <w:lvl w:ilvl="8" w:tentative="0">
      <w:start w:val="1"/>
      <w:numFmt w:val="lowerRoman"/>
      <w:lvlText w:val="%9."/>
      <w:lvlJc w:val="right"/>
      <w:pPr>
        <w:tabs>
          <w:tab w:val="left" w:pos="6840"/>
        </w:tabs>
        <w:ind w:left="6840" w:hanging="180"/>
      </w:pPr>
    </w:lvl>
  </w:abstractNum>
  <w:abstractNum w:abstractNumId="8">
    <w:nsid w:val="48C903C9"/>
    <w:multiLevelType w:val="multilevel"/>
    <w:tmpl w:val="48C903C9"/>
    <w:lvl w:ilvl="0" w:tentative="0">
      <w:start w:val="2"/>
      <w:numFmt w:val="decimal"/>
      <w:lvlText w:val="%1"/>
      <w:lvlJc w:val="left"/>
      <w:pPr>
        <w:ind w:left="360" w:hanging="360"/>
      </w:pPr>
      <w:rPr>
        <w:rFonts w:hint="default"/>
      </w:rPr>
    </w:lvl>
    <w:lvl w:ilvl="1" w:tentative="0">
      <w:start w:val="3"/>
      <w:numFmt w:val="decimal"/>
      <w:lvlText w:val="%1.%2"/>
      <w:lvlJc w:val="left"/>
      <w:pPr>
        <w:ind w:left="3480" w:hanging="360"/>
      </w:pPr>
      <w:rPr>
        <w:rFonts w:hint="default"/>
      </w:rPr>
    </w:lvl>
    <w:lvl w:ilvl="2" w:tentative="0">
      <w:start w:val="1"/>
      <w:numFmt w:val="decimal"/>
      <w:lvlText w:val="%1.%2.%3"/>
      <w:lvlJc w:val="left"/>
      <w:pPr>
        <w:ind w:left="2160" w:hanging="720"/>
      </w:pPr>
      <w:rPr>
        <w:rFonts w:hint="default"/>
      </w:rPr>
    </w:lvl>
    <w:lvl w:ilvl="3" w:tentative="0">
      <w:start w:val="1"/>
      <w:numFmt w:val="decimal"/>
      <w:lvlText w:val="%1.%2.%3.%4"/>
      <w:lvlJc w:val="left"/>
      <w:pPr>
        <w:ind w:left="2880" w:hanging="720"/>
      </w:pPr>
      <w:rPr>
        <w:rFonts w:hint="default"/>
      </w:rPr>
    </w:lvl>
    <w:lvl w:ilvl="4" w:tentative="0">
      <w:start w:val="1"/>
      <w:numFmt w:val="decimal"/>
      <w:lvlText w:val="%1.%2.%3.%4.%5"/>
      <w:lvlJc w:val="left"/>
      <w:pPr>
        <w:ind w:left="3960" w:hanging="1080"/>
      </w:pPr>
      <w:rPr>
        <w:rFonts w:hint="default"/>
      </w:rPr>
    </w:lvl>
    <w:lvl w:ilvl="5" w:tentative="0">
      <w:start w:val="1"/>
      <w:numFmt w:val="decimal"/>
      <w:lvlText w:val="%1.%2.%3.%4.%5.%6"/>
      <w:lvlJc w:val="left"/>
      <w:pPr>
        <w:ind w:left="4680" w:hanging="1080"/>
      </w:pPr>
      <w:rPr>
        <w:rFonts w:hint="default"/>
      </w:rPr>
    </w:lvl>
    <w:lvl w:ilvl="6" w:tentative="0">
      <w:start w:val="1"/>
      <w:numFmt w:val="decimal"/>
      <w:lvlText w:val="%1.%2.%3.%4.%5.%6.%7"/>
      <w:lvlJc w:val="left"/>
      <w:pPr>
        <w:ind w:left="5760" w:hanging="1440"/>
      </w:pPr>
      <w:rPr>
        <w:rFonts w:hint="default"/>
      </w:rPr>
    </w:lvl>
    <w:lvl w:ilvl="7" w:tentative="0">
      <w:start w:val="1"/>
      <w:numFmt w:val="decimal"/>
      <w:lvlText w:val="%1.%2.%3.%4.%5.%6.%7.%8"/>
      <w:lvlJc w:val="left"/>
      <w:pPr>
        <w:ind w:left="6480" w:hanging="1440"/>
      </w:pPr>
      <w:rPr>
        <w:rFonts w:hint="default"/>
      </w:rPr>
    </w:lvl>
    <w:lvl w:ilvl="8" w:tentative="0">
      <w:start w:val="1"/>
      <w:numFmt w:val="decimal"/>
      <w:lvlText w:val="%1.%2.%3.%4.%5.%6.%7.%8.%9"/>
      <w:lvlJc w:val="left"/>
      <w:pPr>
        <w:ind w:left="7560" w:hanging="1800"/>
      </w:pPr>
      <w:rPr>
        <w:rFonts w:hint="default"/>
      </w:rPr>
    </w:lvl>
  </w:abstractNum>
  <w:abstractNum w:abstractNumId="9">
    <w:nsid w:val="4ACA5331"/>
    <w:multiLevelType w:val="singleLevel"/>
    <w:tmpl w:val="4ACA5331"/>
    <w:lvl w:ilvl="0" w:tentative="0">
      <w:start w:val="1"/>
      <w:numFmt w:val="lowerLetter"/>
      <w:lvlText w:val="%1."/>
      <w:lvlJc w:val="left"/>
      <w:pPr>
        <w:tabs>
          <w:tab w:val="left" w:pos="425"/>
        </w:tabs>
        <w:ind w:left="425" w:leftChars="0" w:hanging="425" w:firstLineChars="0"/>
      </w:pPr>
      <w:rPr>
        <w:rFonts w:hint="default"/>
      </w:rPr>
    </w:lvl>
  </w:abstractNum>
  <w:abstractNum w:abstractNumId="10">
    <w:nsid w:val="4EF85142"/>
    <w:multiLevelType w:val="multilevel"/>
    <w:tmpl w:val="4EF85142"/>
    <w:lvl w:ilvl="0" w:tentative="0">
      <w:start w:val="2"/>
      <w:numFmt w:val="decimal"/>
      <w:lvlText w:val="%1"/>
      <w:lvlJc w:val="left"/>
      <w:pPr>
        <w:ind w:left="375" w:hanging="375"/>
      </w:pPr>
      <w:rPr>
        <w:rFonts w:hint="default"/>
      </w:rPr>
    </w:lvl>
    <w:lvl w:ilvl="1" w:tentative="0">
      <w:start w:val="3"/>
      <w:numFmt w:val="decimal"/>
      <w:lvlText w:val="%1.%2"/>
      <w:lvlJc w:val="left"/>
      <w:pPr>
        <w:ind w:left="1287" w:hanging="720"/>
      </w:pPr>
      <w:rPr>
        <w:rFonts w:hint="default"/>
      </w:rPr>
    </w:lvl>
    <w:lvl w:ilvl="2" w:tentative="0">
      <w:start w:val="1"/>
      <w:numFmt w:val="decimal"/>
      <w:lvlText w:val="%1.%2.%3"/>
      <w:lvlJc w:val="left"/>
      <w:pPr>
        <w:ind w:left="1854" w:hanging="720"/>
      </w:pPr>
      <w:rPr>
        <w:rFonts w:hint="default"/>
      </w:rPr>
    </w:lvl>
    <w:lvl w:ilvl="3" w:tentative="0">
      <w:start w:val="1"/>
      <w:numFmt w:val="decimal"/>
      <w:lvlText w:val="%1.%2.%3.%4"/>
      <w:lvlJc w:val="left"/>
      <w:pPr>
        <w:ind w:left="2781" w:hanging="1080"/>
      </w:pPr>
      <w:rPr>
        <w:rFonts w:hint="default"/>
      </w:rPr>
    </w:lvl>
    <w:lvl w:ilvl="4" w:tentative="0">
      <w:start w:val="1"/>
      <w:numFmt w:val="decimal"/>
      <w:lvlText w:val="%1.%2.%3.%4.%5"/>
      <w:lvlJc w:val="left"/>
      <w:pPr>
        <w:ind w:left="3708" w:hanging="1440"/>
      </w:pPr>
      <w:rPr>
        <w:rFonts w:hint="default"/>
      </w:rPr>
    </w:lvl>
    <w:lvl w:ilvl="5" w:tentative="0">
      <w:start w:val="1"/>
      <w:numFmt w:val="lowerLetter"/>
      <w:lvlText w:val="%6."/>
      <w:lvlJc w:val="left"/>
      <w:pPr>
        <w:ind w:left="4275" w:hanging="1440"/>
      </w:pPr>
      <w:rPr>
        <w:rFonts w:ascii="Tahoma" w:hAnsi="Tahoma" w:eastAsia="Times New Roman" w:cs="Tahoma"/>
      </w:rPr>
    </w:lvl>
    <w:lvl w:ilvl="6" w:tentative="0">
      <w:start w:val="1"/>
      <w:numFmt w:val="decimal"/>
      <w:lvlText w:val="%1.%2.%3.%4.%5.%6.%7"/>
      <w:lvlJc w:val="left"/>
      <w:pPr>
        <w:ind w:left="5202" w:hanging="1800"/>
      </w:pPr>
      <w:rPr>
        <w:rFonts w:hint="default"/>
      </w:rPr>
    </w:lvl>
    <w:lvl w:ilvl="7" w:tentative="0">
      <w:start w:val="1"/>
      <w:numFmt w:val="decimal"/>
      <w:lvlText w:val="%1.%2.%3.%4.%5.%6.%7.%8"/>
      <w:lvlJc w:val="left"/>
      <w:pPr>
        <w:ind w:left="6129" w:hanging="2160"/>
      </w:pPr>
      <w:rPr>
        <w:rFonts w:hint="default"/>
      </w:rPr>
    </w:lvl>
    <w:lvl w:ilvl="8" w:tentative="0">
      <w:start w:val="1"/>
      <w:numFmt w:val="decimal"/>
      <w:lvlText w:val="%1.%2.%3.%4.%5.%6.%7.%8.%9"/>
      <w:lvlJc w:val="left"/>
      <w:pPr>
        <w:ind w:left="7056" w:hanging="2520"/>
      </w:pPr>
      <w:rPr>
        <w:rFonts w:hint="default"/>
      </w:rPr>
    </w:lvl>
  </w:abstractNum>
  <w:abstractNum w:abstractNumId="11">
    <w:nsid w:val="507E4078"/>
    <w:multiLevelType w:val="multilevel"/>
    <w:tmpl w:val="507E4078"/>
    <w:lvl w:ilvl="0" w:tentative="0">
      <w:start w:val="1"/>
      <w:numFmt w:val="decimal"/>
      <w:lvlText w:val="%1."/>
      <w:lvlJc w:val="left"/>
      <w:pPr>
        <w:tabs>
          <w:tab w:val="left" w:pos="1800"/>
        </w:tabs>
        <w:ind w:left="1800" w:hanging="360"/>
      </w:pPr>
      <w:rPr>
        <w:rFonts w:hint="default"/>
        <w:b w:val="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2">
    <w:nsid w:val="5F811736"/>
    <w:multiLevelType w:val="multilevel"/>
    <w:tmpl w:val="5F811736"/>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3">
    <w:nsid w:val="6484492C"/>
    <w:multiLevelType w:val="singleLevel"/>
    <w:tmpl w:val="6484492C"/>
    <w:lvl w:ilvl="0" w:tentative="0">
      <w:start w:val="1"/>
      <w:numFmt w:val="lowerLetter"/>
      <w:lvlText w:val="%1."/>
      <w:lvlJc w:val="left"/>
      <w:pPr>
        <w:tabs>
          <w:tab w:val="left" w:pos="425"/>
        </w:tabs>
        <w:ind w:left="425" w:leftChars="0" w:hanging="425" w:firstLineChars="0"/>
      </w:pPr>
      <w:rPr>
        <w:rFonts w:hint="default"/>
      </w:rPr>
    </w:lvl>
  </w:abstractNum>
  <w:abstractNum w:abstractNumId="14">
    <w:nsid w:val="64A02937"/>
    <w:multiLevelType w:val="multilevel"/>
    <w:tmpl w:val="64A02937"/>
    <w:lvl w:ilvl="0" w:tentative="0">
      <w:start w:val="1"/>
      <w:numFmt w:val="lowerLetter"/>
      <w:lvlText w:val="%1."/>
      <w:lvlJc w:val="left"/>
      <w:pPr>
        <w:tabs>
          <w:tab w:val="left" w:pos="1800"/>
        </w:tabs>
        <w:ind w:left="1800" w:hanging="360"/>
      </w:pPr>
      <w:rPr>
        <w:rFonts w:hint="default"/>
        <w:b w:val="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5">
    <w:nsid w:val="65146B82"/>
    <w:multiLevelType w:val="multilevel"/>
    <w:tmpl w:val="65146B82"/>
    <w:lvl w:ilvl="0" w:tentative="0">
      <w:start w:val="2"/>
      <w:numFmt w:val="decimal"/>
      <w:lvlText w:val="%1."/>
      <w:lvlJc w:val="left"/>
      <w:pPr>
        <w:ind w:left="540" w:hanging="540"/>
      </w:pPr>
      <w:rPr>
        <w:rFonts w:hint="default"/>
      </w:rPr>
    </w:lvl>
    <w:lvl w:ilvl="1" w:tentative="0">
      <w:start w:val="4"/>
      <w:numFmt w:val="decimal"/>
      <w:lvlText w:val="%1.%2."/>
      <w:lvlJc w:val="left"/>
      <w:pPr>
        <w:ind w:left="1080" w:hanging="720"/>
      </w:pPr>
      <w:rPr>
        <w:rFonts w:hint="default"/>
      </w:rPr>
    </w:lvl>
    <w:lvl w:ilvl="2" w:tentative="0">
      <w:start w:val="1"/>
      <w:numFmt w:val="decimal"/>
      <w:lvlText w:val="%1.%2.%3."/>
      <w:lvlJc w:val="left"/>
      <w:pPr>
        <w:ind w:left="1440" w:hanging="720"/>
      </w:pPr>
      <w:rPr>
        <w:rFonts w:hint="default"/>
      </w:rPr>
    </w:lvl>
    <w:lvl w:ilvl="3" w:tentative="0">
      <w:start w:val="1"/>
      <w:numFmt w:val="decimal"/>
      <w:lvlText w:val="%1.%2.%3.%4."/>
      <w:lvlJc w:val="left"/>
      <w:pPr>
        <w:ind w:left="2160" w:hanging="1080"/>
      </w:pPr>
      <w:rPr>
        <w:rFonts w:hint="default"/>
      </w:rPr>
    </w:lvl>
    <w:lvl w:ilvl="4" w:tentative="0">
      <w:start w:val="1"/>
      <w:numFmt w:val="decimal"/>
      <w:lvlText w:val="%1.%2.%3.%4.%5."/>
      <w:lvlJc w:val="left"/>
      <w:pPr>
        <w:ind w:left="2520" w:hanging="1080"/>
      </w:pPr>
      <w:rPr>
        <w:rFonts w:hint="default"/>
      </w:rPr>
    </w:lvl>
    <w:lvl w:ilvl="5" w:tentative="0">
      <w:start w:val="1"/>
      <w:numFmt w:val="decimal"/>
      <w:lvlText w:val="%1.%2.%3.%4.%5.%6."/>
      <w:lvlJc w:val="left"/>
      <w:pPr>
        <w:ind w:left="3240" w:hanging="1440"/>
      </w:pPr>
      <w:rPr>
        <w:rFonts w:hint="default"/>
      </w:rPr>
    </w:lvl>
    <w:lvl w:ilvl="6" w:tentative="0">
      <w:start w:val="1"/>
      <w:numFmt w:val="decimal"/>
      <w:lvlText w:val="%1.%2.%3.%4.%5.%6.%7."/>
      <w:lvlJc w:val="left"/>
      <w:pPr>
        <w:ind w:left="3600" w:hanging="1440"/>
      </w:pPr>
      <w:rPr>
        <w:rFonts w:hint="default"/>
      </w:rPr>
    </w:lvl>
    <w:lvl w:ilvl="7" w:tentative="0">
      <w:start w:val="1"/>
      <w:numFmt w:val="decimal"/>
      <w:lvlText w:val="%1.%2.%3.%4.%5.%6.%7.%8."/>
      <w:lvlJc w:val="left"/>
      <w:pPr>
        <w:ind w:left="4320" w:hanging="1800"/>
      </w:pPr>
      <w:rPr>
        <w:rFonts w:hint="default"/>
      </w:rPr>
    </w:lvl>
    <w:lvl w:ilvl="8" w:tentative="0">
      <w:start w:val="1"/>
      <w:numFmt w:val="decimal"/>
      <w:lvlText w:val="%1.%2.%3.%4.%5.%6.%7.%8.%9."/>
      <w:lvlJc w:val="left"/>
      <w:pPr>
        <w:ind w:left="4680" w:hanging="1800"/>
      </w:pPr>
      <w:rPr>
        <w:rFonts w:hint="default"/>
      </w:rPr>
    </w:lvl>
  </w:abstractNum>
  <w:abstractNum w:abstractNumId="16">
    <w:nsid w:val="6DED5D2E"/>
    <w:multiLevelType w:val="multilevel"/>
    <w:tmpl w:val="6DED5D2E"/>
    <w:lvl w:ilvl="0" w:tentative="0">
      <w:start w:val="1"/>
      <w:numFmt w:val="upperLetter"/>
      <w:lvlText w:val="%1."/>
      <w:lvlJc w:val="left"/>
      <w:pPr>
        <w:tabs>
          <w:tab w:val="left" w:pos="2061"/>
        </w:tabs>
        <w:ind w:left="2061" w:hanging="360"/>
      </w:pPr>
      <w:rPr>
        <w:rFonts w:hint="default"/>
      </w:rPr>
    </w:lvl>
    <w:lvl w:ilvl="1" w:tentative="0">
      <w:start w:val="1"/>
      <w:numFmt w:val="upperLetter"/>
      <w:lvlText w:val="%2."/>
      <w:lvlJc w:val="left"/>
      <w:pPr>
        <w:tabs>
          <w:tab w:val="left" w:pos="360"/>
        </w:tabs>
        <w:ind w:left="360" w:hanging="360"/>
      </w:pPr>
      <w:rPr>
        <w:rFonts w:hint="default"/>
      </w:rPr>
    </w:lvl>
    <w:lvl w:ilvl="2" w:tentative="0">
      <w:start w:val="1"/>
      <w:numFmt w:val="lowerLetter"/>
      <w:lvlText w:val="%3."/>
      <w:lvlJc w:val="left"/>
      <w:pPr>
        <w:tabs>
          <w:tab w:val="left" w:pos="3681"/>
        </w:tabs>
        <w:ind w:left="3681" w:hanging="360"/>
      </w:pPr>
      <w:rPr>
        <w:rFonts w:hint="default" w:ascii="Times New Roman" w:hAnsi="Times New Roman"/>
        <w:b w:val="0"/>
        <w:i w:val="0"/>
        <w:sz w:val="24"/>
      </w:rPr>
    </w:lvl>
    <w:lvl w:ilvl="3" w:tentative="0">
      <w:start w:val="1"/>
      <w:numFmt w:val="decimal"/>
      <w:lvlText w:val="%4."/>
      <w:lvlJc w:val="left"/>
      <w:pPr>
        <w:tabs>
          <w:tab w:val="left" w:pos="4221"/>
        </w:tabs>
        <w:ind w:left="4221" w:hanging="360"/>
      </w:pPr>
      <w:rPr>
        <w:rFonts w:hint="default"/>
      </w:rPr>
    </w:lvl>
    <w:lvl w:ilvl="4" w:tentative="0">
      <w:start w:val="1"/>
      <w:numFmt w:val="bullet"/>
      <w:lvlText w:val=""/>
      <w:lvlJc w:val="left"/>
      <w:pPr>
        <w:tabs>
          <w:tab w:val="left" w:pos="4941"/>
        </w:tabs>
        <w:ind w:left="4941" w:hanging="360"/>
      </w:pPr>
      <w:rPr>
        <w:rFonts w:hint="default" w:ascii="Symbol" w:hAnsi="Symbol"/>
      </w:rPr>
    </w:lvl>
    <w:lvl w:ilvl="5" w:tentative="0">
      <w:start w:val="3"/>
      <w:numFmt w:val="decimal"/>
      <w:lvlText w:val="%6."/>
      <w:lvlJc w:val="left"/>
      <w:pPr>
        <w:tabs>
          <w:tab w:val="left" w:pos="5841"/>
        </w:tabs>
        <w:ind w:left="5841" w:hanging="360"/>
      </w:pPr>
      <w:rPr>
        <w:rFonts w:hint="default"/>
        <w:b/>
        <w:i w:val="0"/>
      </w:rPr>
    </w:lvl>
    <w:lvl w:ilvl="6" w:tentative="0">
      <w:start w:val="4"/>
      <w:numFmt w:val="lowerLetter"/>
      <w:lvlText w:val="%7)"/>
      <w:lvlJc w:val="left"/>
      <w:pPr>
        <w:ind w:left="6381" w:hanging="360"/>
      </w:pPr>
      <w:rPr>
        <w:rFonts w:hint="default"/>
      </w:rPr>
    </w:lvl>
    <w:lvl w:ilvl="7" w:tentative="0">
      <w:start w:val="1"/>
      <w:numFmt w:val="lowerLetter"/>
      <w:lvlText w:val="%8."/>
      <w:lvlJc w:val="left"/>
      <w:pPr>
        <w:tabs>
          <w:tab w:val="left" w:pos="7101"/>
        </w:tabs>
        <w:ind w:left="7101" w:hanging="360"/>
      </w:pPr>
    </w:lvl>
    <w:lvl w:ilvl="8" w:tentative="0">
      <w:start w:val="1"/>
      <w:numFmt w:val="lowerRoman"/>
      <w:lvlText w:val="%9."/>
      <w:lvlJc w:val="right"/>
      <w:pPr>
        <w:tabs>
          <w:tab w:val="left" w:pos="7821"/>
        </w:tabs>
        <w:ind w:left="7821" w:hanging="180"/>
      </w:pPr>
    </w:lvl>
  </w:abstractNum>
  <w:abstractNum w:abstractNumId="17">
    <w:nsid w:val="71E0623F"/>
    <w:multiLevelType w:val="multilevel"/>
    <w:tmpl w:val="71E0623F"/>
    <w:lvl w:ilvl="0" w:tentative="0">
      <w:start w:val="1"/>
      <w:numFmt w:val="lowerLetter"/>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8">
    <w:nsid w:val="72DD5FF9"/>
    <w:multiLevelType w:val="multilevel"/>
    <w:tmpl w:val="72DD5FF9"/>
    <w:lvl w:ilvl="0" w:tentative="0">
      <w:start w:val="1"/>
      <w:numFmt w:val="decimal"/>
      <w:lvlText w:val="%1."/>
      <w:lvlJc w:val="left"/>
      <w:pPr>
        <w:ind w:left="720" w:hanging="360"/>
      </w:pPr>
      <w:rPr>
        <w:rFonts w:hint="default"/>
        <w:b/>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9">
    <w:nsid w:val="7A8F081E"/>
    <w:multiLevelType w:val="multilevel"/>
    <w:tmpl w:val="7A8F081E"/>
    <w:lvl w:ilvl="0" w:tentative="0">
      <w:start w:val="1"/>
      <w:numFmt w:val="lowerLetter"/>
      <w:lvlText w:val="%1."/>
      <w:lvlJc w:val="left"/>
      <w:pPr>
        <w:ind w:left="1080" w:hanging="360"/>
      </w:pPr>
      <w:rPr>
        <w:rFonts w:hint="default"/>
      </w:rPr>
    </w:lvl>
    <w:lvl w:ilvl="1" w:tentative="0">
      <w:start w:val="1"/>
      <w:numFmt w:val="lowerLetter"/>
      <w:lvlText w:val="%2."/>
      <w:lvlJc w:val="left"/>
      <w:pPr>
        <w:ind w:left="1800" w:hanging="360"/>
      </w:pPr>
    </w:lvl>
    <w:lvl w:ilvl="2" w:tentative="0">
      <w:start w:val="1"/>
      <w:numFmt w:val="lowerRoman"/>
      <w:lvlText w:val="%3."/>
      <w:lvlJc w:val="right"/>
      <w:pPr>
        <w:ind w:left="2520" w:hanging="180"/>
      </w:pPr>
    </w:lvl>
    <w:lvl w:ilvl="3" w:tentative="0">
      <w:start w:val="1"/>
      <w:numFmt w:val="decimal"/>
      <w:lvlText w:val="%4."/>
      <w:lvlJc w:val="left"/>
      <w:pPr>
        <w:ind w:left="3240" w:hanging="360"/>
      </w:pPr>
    </w:lvl>
    <w:lvl w:ilvl="4" w:tentative="0">
      <w:start w:val="1"/>
      <w:numFmt w:val="lowerLetter"/>
      <w:lvlText w:val="%5."/>
      <w:lvlJc w:val="left"/>
      <w:pPr>
        <w:ind w:left="3960" w:hanging="360"/>
      </w:pPr>
    </w:lvl>
    <w:lvl w:ilvl="5" w:tentative="0">
      <w:start w:val="1"/>
      <w:numFmt w:val="lowerRoman"/>
      <w:lvlText w:val="%6."/>
      <w:lvlJc w:val="right"/>
      <w:pPr>
        <w:ind w:left="4680" w:hanging="180"/>
      </w:pPr>
    </w:lvl>
    <w:lvl w:ilvl="6" w:tentative="0">
      <w:start w:val="1"/>
      <w:numFmt w:val="decimal"/>
      <w:lvlText w:val="%7."/>
      <w:lvlJc w:val="left"/>
      <w:pPr>
        <w:ind w:left="5400" w:hanging="360"/>
      </w:pPr>
    </w:lvl>
    <w:lvl w:ilvl="7" w:tentative="0">
      <w:start w:val="1"/>
      <w:numFmt w:val="lowerLetter"/>
      <w:lvlText w:val="%8."/>
      <w:lvlJc w:val="left"/>
      <w:pPr>
        <w:ind w:left="6120" w:hanging="360"/>
      </w:pPr>
    </w:lvl>
    <w:lvl w:ilvl="8" w:tentative="0">
      <w:start w:val="1"/>
      <w:numFmt w:val="lowerRoman"/>
      <w:lvlText w:val="%9."/>
      <w:lvlJc w:val="right"/>
      <w:pPr>
        <w:ind w:left="6840" w:hanging="180"/>
      </w:pPr>
    </w:lvl>
  </w:abstractNum>
  <w:abstractNum w:abstractNumId="20">
    <w:nsid w:val="7F5F20C0"/>
    <w:multiLevelType w:val="multilevel"/>
    <w:tmpl w:val="7F5F20C0"/>
    <w:lvl w:ilvl="0" w:tentative="0">
      <w:start w:val="1"/>
      <w:numFmt w:val="lowerLetter"/>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20"/>
  </w:num>
  <w:num w:numId="2">
    <w:abstractNumId w:val="19"/>
  </w:num>
  <w:num w:numId="3">
    <w:abstractNumId w:val="18"/>
  </w:num>
  <w:num w:numId="4">
    <w:abstractNumId w:val="5"/>
  </w:num>
  <w:num w:numId="5">
    <w:abstractNumId w:val="7"/>
  </w:num>
  <w:num w:numId="6">
    <w:abstractNumId w:val="11"/>
  </w:num>
  <w:num w:numId="7">
    <w:abstractNumId w:val="9"/>
  </w:num>
  <w:num w:numId="8">
    <w:abstractNumId w:val="0"/>
  </w:num>
  <w:num w:numId="9">
    <w:abstractNumId w:val="13"/>
  </w:num>
  <w:num w:numId="10">
    <w:abstractNumId w:val="17"/>
  </w:num>
  <w:num w:numId="11">
    <w:abstractNumId w:val="2"/>
  </w:num>
  <w:num w:numId="12">
    <w:abstractNumId w:val="3"/>
  </w:num>
  <w:num w:numId="13">
    <w:abstractNumId w:val="14"/>
  </w:num>
  <w:num w:numId="14">
    <w:abstractNumId w:val="1"/>
  </w:num>
  <w:num w:numId="15">
    <w:abstractNumId w:val="16"/>
  </w:num>
  <w:num w:numId="16">
    <w:abstractNumId w:val="8"/>
  </w:num>
  <w:num w:numId="17">
    <w:abstractNumId w:val="12"/>
  </w:num>
  <w:num w:numId="18">
    <w:abstractNumId w:val="10"/>
  </w:num>
  <w:num w:numId="19">
    <w:abstractNumId w:val="15"/>
  </w:num>
  <w:num w:numId="20">
    <w:abstractNumId w:val="4"/>
  </w:num>
  <w:num w:numId="2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0"/>
  <w:bordersDoNotSurroundFooter w:val="0"/>
  <w:documentProtection w:enforcement="0"/>
  <w:defaultTabStop w:val="720"/>
  <w:displayHorizontalDrawingGridEvery w:val="1"/>
  <w:displayVerticalDrawingGridEvery w:val="1"/>
  <w:noPunctuationKerning w:val="1"/>
  <w:characterSpacingControl w:val="doNotCompress"/>
  <w:compat>
    <w:doNotExpandShiftReturn/>
    <w:doNotWrapTextWithPunct/>
    <w:doNotUseEastAsianBreakRules/>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23FE6"/>
    <w:rsid w:val="00005FD8"/>
    <w:rsid w:val="0003093C"/>
    <w:rsid w:val="0003148B"/>
    <w:rsid w:val="00031FBC"/>
    <w:rsid w:val="00046CB2"/>
    <w:rsid w:val="00054D5E"/>
    <w:rsid w:val="0008197A"/>
    <w:rsid w:val="00083B3B"/>
    <w:rsid w:val="0009382A"/>
    <w:rsid w:val="000B17F2"/>
    <w:rsid w:val="000B363D"/>
    <w:rsid w:val="000B4793"/>
    <w:rsid w:val="000B7686"/>
    <w:rsid w:val="000C6DD0"/>
    <w:rsid w:val="000C728C"/>
    <w:rsid w:val="000D372A"/>
    <w:rsid w:val="000D5B02"/>
    <w:rsid w:val="000F6B97"/>
    <w:rsid w:val="00105471"/>
    <w:rsid w:val="00116969"/>
    <w:rsid w:val="00131064"/>
    <w:rsid w:val="001319A0"/>
    <w:rsid w:val="00133812"/>
    <w:rsid w:val="00155A75"/>
    <w:rsid w:val="001701AB"/>
    <w:rsid w:val="001810A2"/>
    <w:rsid w:val="0018112C"/>
    <w:rsid w:val="001A1BD4"/>
    <w:rsid w:val="001B3FF6"/>
    <w:rsid w:val="001D2A65"/>
    <w:rsid w:val="001D4CE9"/>
    <w:rsid w:val="002142BD"/>
    <w:rsid w:val="0021439F"/>
    <w:rsid w:val="002223F4"/>
    <w:rsid w:val="00224F89"/>
    <w:rsid w:val="00225B4C"/>
    <w:rsid w:val="00227BBD"/>
    <w:rsid w:val="002432FD"/>
    <w:rsid w:val="0025244E"/>
    <w:rsid w:val="002612F9"/>
    <w:rsid w:val="0026232A"/>
    <w:rsid w:val="002661A9"/>
    <w:rsid w:val="00282EEC"/>
    <w:rsid w:val="00283343"/>
    <w:rsid w:val="002B3B14"/>
    <w:rsid w:val="002D1591"/>
    <w:rsid w:val="002F258B"/>
    <w:rsid w:val="002F5D95"/>
    <w:rsid w:val="002F7A2F"/>
    <w:rsid w:val="003024DD"/>
    <w:rsid w:val="003041AD"/>
    <w:rsid w:val="00313F2E"/>
    <w:rsid w:val="003212A1"/>
    <w:rsid w:val="00323FE6"/>
    <w:rsid w:val="00336017"/>
    <w:rsid w:val="0033670C"/>
    <w:rsid w:val="00343B4B"/>
    <w:rsid w:val="00392CB3"/>
    <w:rsid w:val="00395A2E"/>
    <w:rsid w:val="003A73B1"/>
    <w:rsid w:val="003C3DF5"/>
    <w:rsid w:val="003C460E"/>
    <w:rsid w:val="003C731B"/>
    <w:rsid w:val="003C7AB4"/>
    <w:rsid w:val="003D125D"/>
    <w:rsid w:val="003D7B82"/>
    <w:rsid w:val="003F1E32"/>
    <w:rsid w:val="003F2C60"/>
    <w:rsid w:val="00444337"/>
    <w:rsid w:val="0045414D"/>
    <w:rsid w:val="00462A95"/>
    <w:rsid w:val="00463ED2"/>
    <w:rsid w:val="004731CE"/>
    <w:rsid w:val="004806DC"/>
    <w:rsid w:val="00481538"/>
    <w:rsid w:val="00483A80"/>
    <w:rsid w:val="00484D68"/>
    <w:rsid w:val="00485B18"/>
    <w:rsid w:val="00490260"/>
    <w:rsid w:val="004943F3"/>
    <w:rsid w:val="00495F73"/>
    <w:rsid w:val="004A79F5"/>
    <w:rsid w:val="004C0F84"/>
    <w:rsid w:val="004C2250"/>
    <w:rsid w:val="004E57A3"/>
    <w:rsid w:val="004F445B"/>
    <w:rsid w:val="005120EA"/>
    <w:rsid w:val="0052269A"/>
    <w:rsid w:val="00530E3A"/>
    <w:rsid w:val="0053358C"/>
    <w:rsid w:val="00534F52"/>
    <w:rsid w:val="0054289D"/>
    <w:rsid w:val="00556F85"/>
    <w:rsid w:val="00573426"/>
    <w:rsid w:val="005910B9"/>
    <w:rsid w:val="005B48C0"/>
    <w:rsid w:val="005B6052"/>
    <w:rsid w:val="005B61B6"/>
    <w:rsid w:val="005C709B"/>
    <w:rsid w:val="005C756E"/>
    <w:rsid w:val="005D0169"/>
    <w:rsid w:val="005D0636"/>
    <w:rsid w:val="005D3C47"/>
    <w:rsid w:val="005F4AE5"/>
    <w:rsid w:val="00611C38"/>
    <w:rsid w:val="00614730"/>
    <w:rsid w:val="00622430"/>
    <w:rsid w:val="006311B5"/>
    <w:rsid w:val="006422D1"/>
    <w:rsid w:val="00645515"/>
    <w:rsid w:val="006516D4"/>
    <w:rsid w:val="00665414"/>
    <w:rsid w:val="00671B9C"/>
    <w:rsid w:val="006750F1"/>
    <w:rsid w:val="0068723D"/>
    <w:rsid w:val="006A0395"/>
    <w:rsid w:val="006A4CE1"/>
    <w:rsid w:val="006B7EAA"/>
    <w:rsid w:val="006C29DC"/>
    <w:rsid w:val="006C4070"/>
    <w:rsid w:val="006D16EC"/>
    <w:rsid w:val="006E23F0"/>
    <w:rsid w:val="006F50DA"/>
    <w:rsid w:val="00703B06"/>
    <w:rsid w:val="00720F02"/>
    <w:rsid w:val="00722260"/>
    <w:rsid w:val="007254BD"/>
    <w:rsid w:val="00735835"/>
    <w:rsid w:val="00751A34"/>
    <w:rsid w:val="007547B7"/>
    <w:rsid w:val="007632A7"/>
    <w:rsid w:val="00766E0B"/>
    <w:rsid w:val="00782883"/>
    <w:rsid w:val="00790587"/>
    <w:rsid w:val="0079184B"/>
    <w:rsid w:val="007956E2"/>
    <w:rsid w:val="007B20B5"/>
    <w:rsid w:val="007C3ED8"/>
    <w:rsid w:val="007C633E"/>
    <w:rsid w:val="007C784C"/>
    <w:rsid w:val="007D52AC"/>
    <w:rsid w:val="00807E8E"/>
    <w:rsid w:val="00821A82"/>
    <w:rsid w:val="00833069"/>
    <w:rsid w:val="00845D1D"/>
    <w:rsid w:val="00853CA8"/>
    <w:rsid w:val="008556A1"/>
    <w:rsid w:val="0086074A"/>
    <w:rsid w:val="008609B3"/>
    <w:rsid w:val="008640A0"/>
    <w:rsid w:val="0087011A"/>
    <w:rsid w:val="00877F65"/>
    <w:rsid w:val="00887817"/>
    <w:rsid w:val="00891FC2"/>
    <w:rsid w:val="008A77E1"/>
    <w:rsid w:val="008B23EB"/>
    <w:rsid w:val="008B4524"/>
    <w:rsid w:val="008B5122"/>
    <w:rsid w:val="008C0BE1"/>
    <w:rsid w:val="008C456B"/>
    <w:rsid w:val="008E1B2E"/>
    <w:rsid w:val="008E5D39"/>
    <w:rsid w:val="008E72A0"/>
    <w:rsid w:val="008F0061"/>
    <w:rsid w:val="008F32F0"/>
    <w:rsid w:val="00907C33"/>
    <w:rsid w:val="00947555"/>
    <w:rsid w:val="00972953"/>
    <w:rsid w:val="00984520"/>
    <w:rsid w:val="009A1393"/>
    <w:rsid w:val="009A3D24"/>
    <w:rsid w:val="009B35A0"/>
    <w:rsid w:val="009B43CD"/>
    <w:rsid w:val="009B7074"/>
    <w:rsid w:val="009C4AB4"/>
    <w:rsid w:val="009C4B4C"/>
    <w:rsid w:val="009D08BA"/>
    <w:rsid w:val="009E1948"/>
    <w:rsid w:val="009E47D0"/>
    <w:rsid w:val="00A05FF3"/>
    <w:rsid w:val="00A11636"/>
    <w:rsid w:val="00A53686"/>
    <w:rsid w:val="00A60CCF"/>
    <w:rsid w:val="00A77AD4"/>
    <w:rsid w:val="00A86C03"/>
    <w:rsid w:val="00A86DC5"/>
    <w:rsid w:val="00A9331C"/>
    <w:rsid w:val="00AA144D"/>
    <w:rsid w:val="00AB1A1E"/>
    <w:rsid w:val="00AB1AFA"/>
    <w:rsid w:val="00AC3AAC"/>
    <w:rsid w:val="00AC7705"/>
    <w:rsid w:val="00AD3850"/>
    <w:rsid w:val="00AE3212"/>
    <w:rsid w:val="00AE5379"/>
    <w:rsid w:val="00AF7325"/>
    <w:rsid w:val="00B078A8"/>
    <w:rsid w:val="00B11309"/>
    <w:rsid w:val="00B1417A"/>
    <w:rsid w:val="00B26BD7"/>
    <w:rsid w:val="00B31CC4"/>
    <w:rsid w:val="00B32F1E"/>
    <w:rsid w:val="00B33F16"/>
    <w:rsid w:val="00B448B8"/>
    <w:rsid w:val="00B4786A"/>
    <w:rsid w:val="00B53B59"/>
    <w:rsid w:val="00B542E1"/>
    <w:rsid w:val="00B570D5"/>
    <w:rsid w:val="00B624F9"/>
    <w:rsid w:val="00B63152"/>
    <w:rsid w:val="00B64F8A"/>
    <w:rsid w:val="00B70867"/>
    <w:rsid w:val="00B74C88"/>
    <w:rsid w:val="00BA1B0B"/>
    <w:rsid w:val="00BB66F3"/>
    <w:rsid w:val="00BC70FA"/>
    <w:rsid w:val="00BE3899"/>
    <w:rsid w:val="00BE401E"/>
    <w:rsid w:val="00BF523E"/>
    <w:rsid w:val="00BF60A2"/>
    <w:rsid w:val="00C318BB"/>
    <w:rsid w:val="00C323E4"/>
    <w:rsid w:val="00C351FE"/>
    <w:rsid w:val="00C43656"/>
    <w:rsid w:val="00C57220"/>
    <w:rsid w:val="00C602E5"/>
    <w:rsid w:val="00C80D37"/>
    <w:rsid w:val="00C849BA"/>
    <w:rsid w:val="00C84A14"/>
    <w:rsid w:val="00C84C51"/>
    <w:rsid w:val="00C85552"/>
    <w:rsid w:val="00C8773C"/>
    <w:rsid w:val="00C91641"/>
    <w:rsid w:val="00CA788D"/>
    <w:rsid w:val="00CA79B4"/>
    <w:rsid w:val="00CB195C"/>
    <w:rsid w:val="00CC4935"/>
    <w:rsid w:val="00CF6321"/>
    <w:rsid w:val="00D00CBA"/>
    <w:rsid w:val="00D11919"/>
    <w:rsid w:val="00D13593"/>
    <w:rsid w:val="00D27D1A"/>
    <w:rsid w:val="00D45BFC"/>
    <w:rsid w:val="00D45D3B"/>
    <w:rsid w:val="00D56802"/>
    <w:rsid w:val="00D57EF6"/>
    <w:rsid w:val="00D767EC"/>
    <w:rsid w:val="00D81C11"/>
    <w:rsid w:val="00D8458D"/>
    <w:rsid w:val="00D8679F"/>
    <w:rsid w:val="00D86911"/>
    <w:rsid w:val="00D966D5"/>
    <w:rsid w:val="00D97E32"/>
    <w:rsid w:val="00DA74CC"/>
    <w:rsid w:val="00DC6149"/>
    <w:rsid w:val="00DD4FD0"/>
    <w:rsid w:val="00E04AC3"/>
    <w:rsid w:val="00E058E6"/>
    <w:rsid w:val="00E065F0"/>
    <w:rsid w:val="00E10EA2"/>
    <w:rsid w:val="00E23BA7"/>
    <w:rsid w:val="00E40D1E"/>
    <w:rsid w:val="00E44B03"/>
    <w:rsid w:val="00E51064"/>
    <w:rsid w:val="00E51F47"/>
    <w:rsid w:val="00E64AB8"/>
    <w:rsid w:val="00E723DE"/>
    <w:rsid w:val="00E72712"/>
    <w:rsid w:val="00E738D5"/>
    <w:rsid w:val="00E76362"/>
    <w:rsid w:val="00EA1EDE"/>
    <w:rsid w:val="00EA33B6"/>
    <w:rsid w:val="00EB5D5E"/>
    <w:rsid w:val="00EE63ED"/>
    <w:rsid w:val="00EE73D1"/>
    <w:rsid w:val="00EE75E3"/>
    <w:rsid w:val="00F10232"/>
    <w:rsid w:val="00F207D9"/>
    <w:rsid w:val="00F260A2"/>
    <w:rsid w:val="00F308AD"/>
    <w:rsid w:val="00F30A8E"/>
    <w:rsid w:val="00F41A8C"/>
    <w:rsid w:val="00F502FD"/>
    <w:rsid w:val="00F6229C"/>
    <w:rsid w:val="00F626FE"/>
    <w:rsid w:val="00F672BF"/>
    <w:rsid w:val="00F7056D"/>
    <w:rsid w:val="00F84111"/>
    <w:rsid w:val="00FA1A6E"/>
    <w:rsid w:val="00FA43E7"/>
    <w:rsid w:val="00FC2759"/>
    <w:rsid w:val="00FF31AF"/>
    <w:rsid w:val="03526A45"/>
    <w:rsid w:val="037D5C96"/>
    <w:rsid w:val="065613E4"/>
    <w:rsid w:val="06DA2148"/>
    <w:rsid w:val="09EB1232"/>
    <w:rsid w:val="0B98361A"/>
    <w:rsid w:val="0FBC7322"/>
    <w:rsid w:val="118E2ADC"/>
    <w:rsid w:val="159F1226"/>
    <w:rsid w:val="160272F5"/>
    <w:rsid w:val="1938086E"/>
    <w:rsid w:val="19A76B23"/>
    <w:rsid w:val="1CED21F2"/>
    <w:rsid w:val="1D743D56"/>
    <w:rsid w:val="1DDE18E7"/>
    <w:rsid w:val="1FC221E3"/>
    <w:rsid w:val="20353244"/>
    <w:rsid w:val="22643AE3"/>
    <w:rsid w:val="24554125"/>
    <w:rsid w:val="28C46ACC"/>
    <w:rsid w:val="32692CF3"/>
    <w:rsid w:val="33E51F39"/>
    <w:rsid w:val="350261B4"/>
    <w:rsid w:val="38C37817"/>
    <w:rsid w:val="3A9D367B"/>
    <w:rsid w:val="3B2D14C3"/>
    <w:rsid w:val="3B9424DF"/>
    <w:rsid w:val="3BB967C1"/>
    <w:rsid w:val="3CF84980"/>
    <w:rsid w:val="3E2B41F7"/>
    <w:rsid w:val="3FC811CA"/>
    <w:rsid w:val="3FDC2A33"/>
    <w:rsid w:val="41266D86"/>
    <w:rsid w:val="41BB60B7"/>
    <w:rsid w:val="42D21136"/>
    <w:rsid w:val="43AB3C3A"/>
    <w:rsid w:val="461D4861"/>
    <w:rsid w:val="4704394E"/>
    <w:rsid w:val="49B45BA1"/>
    <w:rsid w:val="4AD57AEF"/>
    <w:rsid w:val="4AE83E13"/>
    <w:rsid w:val="4B126A25"/>
    <w:rsid w:val="4BD9350B"/>
    <w:rsid w:val="4D2879A0"/>
    <w:rsid w:val="4DFE622A"/>
    <w:rsid w:val="4E400668"/>
    <w:rsid w:val="50664E1B"/>
    <w:rsid w:val="527021E5"/>
    <w:rsid w:val="53E5251E"/>
    <w:rsid w:val="54E22379"/>
    <w:rsid w:val="55075457"/>
    <w:rsid w:val="569D13E2"/>
    <w:rsid w:val="56B058AB"/>
    <w:rsid w:val="56EA6DB8"/>
    <w:rsid w:val="57BD3EA5"/>
    <w:rsid w:val="5A1A1FC7"/>
    <w:rsid w:val="5AEB3841"/>
    <w:rsid w:val="5B55071E"/>
    <w:rsid w:val="5F244F5A"/>
    <w:rsid w:val="60537F05"/>
    <w:rsid w:val="627E4DED"/>
    <w:rsid w:val="6630149A"/>
    <w:rsid w:val="683A268F"/>
    <w:rsid w:val="685978B4"/>
    <w:rsid w:val="68D10B3B"/>
    <w:rsid w:val="69850EA8"/>
    <w:rsid w:val="6A1021D3"/>
    <w:rsid w:val="6FAB68EF"/>
    <w:rsid w:val="71690A6E"/>
    <w:rsid w:val="718A6440"/>
    <w:rsid w:val="71BB758A"/>
    <w:rsid w:val="743E34B6"/>
    <w:rsid w:val="750A6100"/>
    <w:rsid w:val="7AA92EA0"/>
    <w:rsid w:val="7E5E3FEF"/>
    <w:rsid w:val="7EC021EF"/>
    <w:rsid w:val="7FE7189C"/>
  </w:rsids>
  <m:mathPr>
    <m:mathFont m:val="Cambria Math"/>
    <m:brkBin m:val="before"/>
    <m:brkBinSub m:val="--"/>
    <m:smallFrac m:val="0"/>
    <m:dispDef/>
    <m:lMargin m:val="0"/>
    <m:rMargin m:val="0"/>
    <m:defJc m:val="centerGroup"/>
    <m:wrapIndent m:val="1440"/>
    <m:intLim m:val="subSup"/>
    <m:naryLim m:val="undOvr"/>
  </m:mathPr>
  <w:themeFontLang w:val="id-ID"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SimSu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heme="minorHAnsi" w:hAnsiTheme="minorHAnsi" w:eastAsiaTheme="minorHAnsi" w:cstheme="minorBidi"/>
      <w:sz w:val="22"/>
      <w:szCs w:val="22"/>
      <w:lang w:val="id-ID" w:eastAsia="en-US" w:bidi="ar-SA"/>
    </w:rPr>
  </w:style>
  <w:style w:type="character" w:default="1" w:styleId="6">
    <w:name w:val="Default Paragraph Font"/>
    <w:semiHidden/>
    <w:unhideWhenUsed/>
    <w:uiPriority w:val="1"/>
  </w:style>
  <w:style w:type="table" w:default="1" w:styleId="7">
    <w:name w:val="Normal Table"/>
    <w:semiHidden/>
    <w:unhideWhenUsed/>
    <w:uiPriority w:val="99"/>
    <w:tblPr>
      <w:tblLayout w:type="fixed"/>
      <w:tblCellMar>
        <w:top w:w="0" w:type="dxa"/>
        <w:left w:w="108" w:type="dxa"/>
        <w:bottom w:w="0" w:type="dxa"/>
        <w:right w:w="108" w:type="dxa"/>
      </w:tblCellMar>
    </w:tblPr>
  </w:style>
  <w:style w:type="paragraph" w:styleId="2">
    <w:name w:val="Balloon Text"/>
    <w:basedOn w:val="1"/>
    <w:link w:val="17"/>
    <w:semiHidden/>
    <w:unhideWhenUsed/>
    <w:qFormat/>
    <w:uiPriority w:val="99"/>
    <w:pPr>
      <w:spacing w:after="0" w:line="240" w:lineRule="auto"/>
    </w:pPr>
    <w:rPr>
      <w:rFonts w:ascii="Segoe UI" w:hAnsi="Segoe UI" w:cs="Segoe UI"/>
      <w:sz w:val="18"/>
      <w:szCs w:val="18"/>
    </w:rPr>
  </w:style>
  <w:style w:type="paragraph" w:styleId="3">
    <w:name w:val="footer"/>
    <w:basedOn w:val="1"/>
    <w:link w:val="12"/>
    <w:unhideWhenUsed/>
    <w:qFormat/>
    <w:uiPriority w:val="99"/>
    <w:pPr>
      <w:tabs>
        <w:tab w:val="center" w:pos="4513"/>
        <w:tab w:val="right" w:pos="9026"/>
      </w:tabs>
      <w:spacing w:after="0" w:line="240" w:lineRule="auto"/>
    </w:pPr>
  </w:style>
  <w:style w:type="paragraph" w:styleId="4">
    <w:name w:val="header"/>
    <w:basedOn w:val="1"/>
    <w:link w:val="11"/>
    <w:unhideWhenUsed/>
    <w:uiPriority w:val="99"/>
    <w:pPr>
      <w:tabs>
        <w:tab w:val="center" w:pos="4513"/>
        <w:tab w:val="right" w:pos="9026"/>
      </w:tabs>
      <w:spacing w:after="0" w:line="240" w:lineRule="auto"/>
    </w:pPr>
  </w:style>
  <w:style w:type="paragraph" w:styleId="5">
    <w:name w:val="Normal (Web)"/>
    <w:semiHidden/>
    <w:unhideWhenUsed/>
    <w:uiPriority w:val="99"/>
    <w:pPr>
      <w:spacing w:before="0" w:beforeAutospacing="1" w:after="0" w:afterAutospacing="1"/>
      <w:ind w:left="0" w:right="0"/>
      <w:jc w:val="left"/>
    </w:pPr>
    <w:rPr>
      <w:rFonts w:ascii="Times New Roman" w:hAnsi="Times New Roman" w:eastAsia="SimSun" w:cs="Times New Roman"/>
      <w:kern w:val="0"/>
      <w:sz w:val="24"/>
      <w:szCs w:val="24"/>
      <w:lang w:val="en-US" w:eastAsia="zh-CN" w:bidi="ar"/>
    </w:rPr>
  </w:style>
  <w:style w:type="table" w:styleId="8">
    <w:name w:val="Table Grid"/>
    <w:basedOn w:val="7"/>
    <w:uiPriority w:val="59"/>
    <w:pPr>
      <w:spacing w:after="0" w:line="240" w:lineRule="auto"/>
      <w:jc w:val="both"/>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Pr>
  </w:style>
  <w:style w:type="table" w:styleId="9">
    <w:name w:val="Medium Shading 1 Accent 5"/>
    <w:basedOn w:val="7"/>
    <w:uiPriority w:val="63"/>
    <w:pPr>
      <w:spacing w:after="0" w:line="240" w:lineRule="auto"/>
    </w:pPr>
    <w:rPr>
      <w:rFonts w:ascii="Calibri" w:hAnsi="Calibri" w:eastAsia="Calibri" w:cs="Times New Roman"/>
      <w:sz w:val="20"/>
      <w:szCs w:val="20"/>
      <w:lang w:val="en-US"/>
    </w:rPr>
    <w:tblPr>
      <w:tblBorders>
        <w:top w:val="single" w:color="7295D2" w:themeColor="accent5" w:themeTint="BF" w:sz="8" w:space="0"/>
        <w:left w:val="single" w:color="7295D2" w:themeColor="accent5" w:themeTint="BF" w:sz="8" w:space="0"/>
        <w:bottom w:val="single" w:color="7295D2" w:themeColor="accent5" w:themeTint="BF" w:sz="8" w:space="0"/>
        <w:right w:val="single" w:color="7295D2" w:themeColor="accent5" w:themeTint="BF" w:sz="8" w:space="0"/>
        <w:insideH w:val="single" w:color="7295D2" w:themeColor="accent5" w:themeTint="BF" w:sz="8" w:space="0"/>
      </w:tblBorders>
      <w:tblLayout w:type="fixed"/>
    </w:tblPr>
    <w:tblStylePr w:type="firstRow">
      <w:pPr>
        <w:spacing w:before="0" w:after="0" w:line="240" w:lineRule="auto"/>
      </w:pPr>
      <w:rPr>
        <w:b/>
        <w:bCs/>
        <w:color w:val="FFFFFF" w:themeColor="background1"/>
        <w14:textFill>
          <w14:solidFill>
            <w14:schemeClr w14:val="bg1"/>
          </w14:solidFill>
        </w14:textFill>
      </w:rPr>
      <w:tblPr>
        <w:tblLayout w:type="fixed"/>
      </w:tblPr>
      <w:tcPr>
        <w:tcBorders>
          <w:top w:val="single" w:color="7295D2" w:themeColor="accent5" w:themeTint="BF" w:sz="8" w:space="0"/>
          <w:left w:val="single" w:color="7295D2" w:themeColor="accent5" w:themeTint="BF" w:sz="8" w:space="0"/>
          <w:bottom w:val="single" w:color="7295D2" w:themeColor="accent5" w:themeTint="BF" w:sz="8" w:space="0"/>
          <w:right w:val="single" w:color="7295D2" w:themeColor="accent5" w:themeTint="BF" w:sz="8" w:space="0"/>
          <w:insideH w:val="nil"/>
          <w:insideV w:val="nil"/>
        </w:tcBorders>
        <w:shd w:val="clear" w:color="auto" w:fill="4472C4" w:themeFill="accent5"/>
      </w:tcPr>
    </w:tblStylePr>
    <w:tblStylePr w:type="lastRow">
      <w:pPr>
        <w:spacing w:before="0" w:after="0" w:line="240" w:lineRule="auto"/>
      </w:pPr>
      <w:rPr>
        <w:b/>
        <w:bCs/>
      </w:rPr>
      <w:tblPr>
        <w:tblLayout w:type="fixed"/>
      </w:tblPr>
      <w:tcPr>
        <w:tcBorders>
          <w:top w:val="double" w:color="7295D2" w:themeColor="accent5" w:themeTint="BF" w:sz="6" w:space="0"/>
          <w:left w:val="single" w:color="7295D2" w:themeColor="accent5" w:themeTint="BF" w:sz="8" w:space="0"/>
          <w:bottom w:val="single" w:color="7295D2" w:themeColor="accent5" w:themeTint="BF" w:sz="8" w:space="0"/>
          <w:right w:val="single" w:color="7295D2" w:themeColor="accent5" w:themeTint="BF" w:sz="8" w:space="0"/>
          <w:insideH w:val="nil"/>
          <w:insideV w:val="nil"/>
        </w:tcBorders>
      </w:tcPr>
    </w:tblStylePr>
    <w:tblStylePr w:type="firstCol">
      <w:rPr>
        <w:b/>
        <w:bCs/>
      </w:rPr>
    </w:tblStylePr>
    <w:tblStylePr w:type="lastCol">
      <w:rPr>
        <w:b/>
        <w:bCs/>
      </w:rPr>
    </w:tblStylePr>
    <w:tblStylePr w:type="band1Vert">
      <w:tblPr>
        <w:tblLayout w:type="fixed"/>
      </w:tblPr>
      <w:tcPr>
        <w:shd w:val="clear" w:color="auto" w:fill="D0DCF0" w:themeFill="accent5" w:themeFillTint="3F"/>
      </w:tcPr>
    </w:tblStylePr>
    <w:tblStylePr w:type="band1Horz">
      <w:tblPr>
        <w:tblLayout w:type="fixed"/>
      </w:tblPr>
      <w:tcPr>
        <w:tcBorders>
          <w:insideH w:val="nil"/>
          <w:insideV w:val="nil"/>
        </w:tcBorders>
        <w:shd w:val="clear" w:color="auto" w:fill="D0DCF0" w:themeFill="accent5" w:themeFillTint="3F"/>
      </w:tcPr>
    </w:tblStylePr>
    <w:tblStylePr w:type="band2Horz">
      <w:tblPr>
        <w:tblLayout w:type="fixed"/>
      </w:tblPr>
      <w:tcPr>
        <w:tcBorders>
          <w:insideH w:val="nil"/>
          <w:insideV w:val="nil"/>
        </w:tcBorders>
      </w:tcPr>
    </w:tblStylePr>
  </w:style>
  <w:style w:type="paragraph" w:customStyle="1" w:styleId="10">
    <w:name w:val="Default"/>
    <w:qFormat/>
    <w:uiPriority w:val="0"/>
    <w:pPr>
      <w:autoSpaceDE w:val="0"/>
      <w:autoSpaceDN w:val="0"/>
      <w:adjustRightInd w:val="0"/>
      <w:spacing w:after="0" w:line="240" w:lineRule="auto"/>
    </w:pPr>
    <w:rPr>
      <w:rFonts w:ascii="Bookman Old Style" w:hAnsi="Bookman Old Style" w:cs="Bookman Old Style" w:eastAsiaTheme="minorEastAsia"/>
      <w:color w:val="000000"/>
      <w:sz w:val="24"/>
      <w:szCs w:val="24"/>
      <w:lang w:val="id-ID" w:eastAsia="ko-KR" w:bidi="ar-SA"/>
    </w:rPr>
  </w:style>
  <w:style w:type="character" w:customStyle="1" w:styleId="11">
    <w:name w:val="Header Char"/>
    <w:basedOn w:val="6"/>
    <w:link w:val="4"/>
    <w:qFormat/>
    <w:uiPriority w:val="99"/>
  </w:style>
  <w:style w:type="character" w:customStyle="1" w:styleId="12">
    <w:name w:val="Footer Char"/>
    <w:basedOn w:val="6"/>
    <w:link w:val="3"/>
    <w:uiPriority w:val="99"/>
  </w:style>
  <w:style w:type="paragraph" w:styleId="13">
    <w:name w:val="No Spacing"/>
    <w:link w:val="14"/>
    <w:qFormat/>
    <w:uiPriority w:val="1"/>
    <w:pPr>
      <w:spacing w:after="0" w:line="240" w:lineRule="auto"/>
    </w:pPr>
    <w:rPr>
      <w:rFonts w:ascii="Calibri" w:hAnsi="Calibri" w:eastAsia="Times New Roman" w:cs="Times New Roman"/>
      <w:sz w:val="22"/>
      <w:szCs w:val="22"/>
      <w:lang w:val="en-US" w:eastAsia="en-US" w:bidi="ar-SA"/>
    </w:rPr>
  </w:style>
  <w:style w:type="character" w:customStyle="1" w:styleId="14">
    <w:name w:val="No Spacing Char"/>
    <w:basedOn w:val="6"/>
    <w:link w:val="13"/>
    <w:uiPriority w:val="1"/>
    <w:rPr>
      <w:rFonts w:ascii="Calibri" w:hAnsi="Calibri" w:eastAsia="Times New Roman" w:cs="Times New Roman"/>
      <w:lang w:val="en-US"/>
    </w:rPr>
  </w:style>
  <w:style w:type="paragraph" w:styleId="15">
    <w:name w:val="List Paragraph"/>
    <w:basedOn w:val="1"/>
    <w:link w:val="16"/>
    <w:qFormat/>
    <w:uiPriority w:val="34"/>
    <w:pPr>
      <w:ind w:left="720"/>
      <w:contextualSpacing/>
    </w:pPr>
  </w:style>
  <w:style w:type="character" w:customStyle="1" w:styleId="16">
    <w:name w:val="List Paragraph Char"/>
    <w:link w:val="15"/>
    <w:locked/>
    <w:uiPriority w:val="34"/>
  </w:style>
  <w:style w:type="character" w:customStyle="1" w:styleId="17">
    <w:name w:val="Balloon Text Char"/>
    <w:basedOn w:val="6"/>
    <w:link w:val="2"/>
    <w:semiHidden/>
    <w:uiPriority w:val="99"/>
    <w:rPr>
      <w:rFonts w:ascii="Segoe UI" w:hAnsi="Segoe UI" w:cs="Segoe UI"/>
      <w:sz w:val="18"/>
      <w:szCs w:val="18"/>
    </w:rPr>
  </w:style>
</w:styles>
</file>

<file path=word/_rels/document.xml.rels><?xml version="1.0" encoding="UTF-8" standalone="yes"?>
<Relationships xmlns="http://schemas.openxmlformats.org/package/2006/relationships"><Relationship Id="rId9" Type="http://schemas.openxmlformats.org/officeDocument/2006/relationships/chart" Target="charts/chart1.xml"/><Relationship Id="rId8" Type="http://schemas.openxmlformats.org/officeDocument/2006/relationships/image" Target="media/image1.emf"/><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2" Type="http://schemas.openxmlformats.org/officeDocument/2006/relationships/glossaryDocument" Target="glossary/document.xml"/><Relationship Id="rId31" Type="http://schemas.openxmlformats.org/officeDocument/2006/relationships/fontTable" Target="fontTable.xml"/><Relationship Id="rId30" Type="http://schemas.openxmlformats.org/officeDocument/2006/relationships/customXml" Target="../customXml/item2.xml"/><Relationship Id="rId3" Type="http://schemas.openxmlformats.org/officeDocument/2006/relationships/header" Target="header1.xml"/><Relationship Id="rId29" Type="http://schemas.openxmlformats.org/officeDocument/2006/relationships/numbering" Target="numbering.xml"/><Relationship Id="rId28" Type="http://schemas.openxmlformats.org/officeDocument/2006/relationships/customXml" Target="../customXml/item1.xml"/><Relationship Id="rId27" Type="http://schemas.openxmlformats.org/officeDocument/2006/relationships/image" Target="media/image4.emf"/><Relationship Id="rId26" Type="http://schemas.openxmlformats.org/officeDocument/2006/relationships/oleObject" Target="embeddings/oleObject3.bin"/><Relationship Id="rId25" Type="http://schemas.openxmlformats.org/officeDocument/2006/relationships/chart" Target="charts/chart13.xml"/><Relationship Id="rId24" Type="http://schemas.openxmlformats.org/officeDocument/2006/relationships/chart" Target="charts/chart12.xml"/><Relationship Id="rId23" Type="http://schemas.openxmlformats.org/officeDocument/2006/relationships/chart" Target="charts/chart11.xml"/><Relationship Id="rId22" Type="http://schemas.openxmlformats.org/officeDocument/2006/relationships/chart" Target="charts/chart10.xml"/><Relationship Id="rId21" Type="http://schemas.openxmlformats.org/officeDocument/2006/relationships/chart" Target="charts/chart9.xml"/><Relationship Id="rId20" Type="http://schemas.openxmlformats.org/officeDocument/2006/relationships/chart" Target="charts/chart8.xml"/><Relationship Id="rId2" Type="http://schemas.openxmlformats.org/officeDocument/2006/relationships/settings" Target="settings.xml"/><Relationship Id="rId19" Type="http://schemas.openxmlformats.org/officeDocument/2006/relationships/chart" Target="charts/chart7.xml"/><Relationship Id="rId18" Type="http://schemas.openxmlformats.org/officeDocument/2006/relationships/chart" Target="charts/chart6.xml"/><Relationship Id="rId17" Type="http://schemas.openxmlformats.org/officeDocument/2006/relationships/image" Target="media/image3.emf"/><Relationship Id="rId16" Type="http://schemas.openxmlformats.org/officeDocument/2006/relationships/oleObject" Target="embeddings/oleObject2.bin"/><Relationship Id="rId15" Type="http://schemas.openxmlformats.org/officeDocument/2006/relationships/chart" Target="charts/chart5.xml"/><Relationship Id="rId14" Type="http://schemas.openxmlformats.org/officeDocument/2006/relationships/chart" Target="charts/chart4.xml"/><Relationship Id="rId13" Type="http://schemas.openxmlformats.org/officeDocument/2006/relationships/chart" Target="charts/chart3.xml"/><Relationship Id="rId12" Type="http://schemas.openxmlformats.org/officeDocument/2006/relationships/image" Target="media/image2.emf"/><Relationship Id="rId11" Type="http://schemas.openxmlformats.org/officeDocument/2006/relationships/oleObject" Target="embeddings/oleObject1.bin"/><Relationship Id="rId10" Type="http://schemas.openxmlformats.org/officeDocument/2006/relationships/chart" Target="charts/chart2.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3" Type="http://schemas.microsoft.com/office/2011/relationships/chartColorStyle" Target="colors1.xml"/><Relationship Id="rId2" Type="http://schemas.microsoft.com/office/2011/relationships/chartStyle" Target="style1.xml"/><Relationship Id="rId1" Type="http://schemas.openxmlformats.org/officeDocument/2006/relationships/oleObject" Target="Book1" TargetMode="External"/></Relationships>
</file>

<file path=word/charts/_rels/chart10.xml.rels><?xml version="1.0" encoding="UTF-8" standalone="yes"?>
<Relationships xmlns="http://schemas.openxmlformats.org/package/2006/relationships"><Relationship Id="rId1" Type="http://schemas.openxmlformats.org/officeDocument/2006/relationships/package" Target="../embeddings/Workbook9.xlsx"/></Relationships>
</file>

<file path=word/charts/_rels/chart11.xml.rels><?xml version="1.0" encoding="UTF-8" standalone="yes"?>
<Relationships xmlns="http://schemas.openxmlformats.org/package/2006/relationships"><Relationship Id="rId1" Type="http://schemas.openxmlformats.org/officeDocument/2006/relationships/package" Target="../embeddings/Workbook11.xlsx"/></Relationships>
</file>

<file path=word/charts/_rels/chart12.xml.rels><?xml version="1.0" encoding="UTF-8" standalone="yes"?>
<Relationships xmlns="http://schemas.openxmlformats.org/package/2006/relationships"><Relationship Id="rId1" Type="http://schemas.openxmlformats.org/officeDocument/2006/relationships/package" Target="../embeddings/Workbook5.xlsx"/></Relationships>
</file>

<file path=word/charts/_rels/chart13.xml.rels><?xml version="1.0" encoding="UTF-8" standalone="yes"?>
<Relationships xmlns="http://schemas.openxmlformats.org/package/2006/relationships"><Relationship Id="rId1" Type="http://schemas.openxmlformats.org/officeDocument/2006/relationships/package" Target="../embeddings/Workbook7.xlsx"/></Relationships>
</file>

<file path=word/charts/_rels/chart2.xml.rels><?xml version="1.0" encoding="UTF-8" standalone="yes"?>
<Relationships xmlns="http://schemas.openxmlformats.org/package/2006/relationships"><Relationship Id="rId3" Type="http://schemas.microsoft.com/office/2011/relationships/chartColorStyle" Target="colors2.xml"/><Relationship Id="rId2" Type="http://schemas.microsoft.com/office/2011/relationships/chartStyle" Target="style2.xml"/><Relationship Id="rId1" Type="http://schemas.openxmlformats.org/officeDocument/2006/relationships/oleObject" Target="file:///C:\Users\subid%20data\Videos\Documents\2016\RENSTRA\EDIT\Renstra%2025agustus\Komposisi%20Pegawai.xlsx" TargetMode="External"/></Relationships>
</file>

<file path=word/charts/_rels/chart3.xml.rels><?xml version="1.0" encoding="UTF-8" standalone="yes"?>
<Relationships xmlns="http://schemas.openxmlformats.org/package/2006/relationships"><Relationship Id="rId1" Type="http://schemas.openxmlformats.org/officeDocument/2006/relationships/package" Target="../embeddings/Workbook3.xlsx"/></Relationships>
</file>

<file path=word/charts/_rels/chart4.xml.rels><?xml version="1.0" encoding="UTF-8" standalone="yes"?>
<Relationships xmlns="http://schemas.openxmlformats.org/package/2006/relationships"><Relationship Id="rId1" Type="http://schemas.openxmlformats.org/officeDocument/2006/relationships/package" Target="../embeddings/Workbook1.xlsx"/></Relationships>
</file>

<file path=word/charts/_rels/chart5.xml.rels><?xml version="1.0" encoding="UTF-8" standalone="yes"?>
<Relationships xmlns="http://schemas.openxmlformats.org/package/2006/relationships"><Relationship Id="rId1" Type="http://schemas.openxmlformats.org/officeDocument/2006/relationships/package" Target="../embeddings/Workbook2.xlsx"/></Relationships>
</file>

<file path=word/charts/_rels/chart6.xml.rels><?xml version="1.0" encoding="UTF-8" standalone="yes"?>
<Relationships xmlns="http://schemas.openxmlformats.org/package/2006/relationships"><Relationship Id="rId1" Type="http://schemas.openxmlformats.org/officeDocument/2006/relationships/package" Target="../embeddings/Workbook4.xlsx"/></Relationships>
</file>

<file path=word/charts/_rels/chart7.xml.rels><?xml version="1.0" encoding="UTF-8" standalone="yes"?>
<Relationships xmlns="http://schemas.openxmlformats.org/package/2006/relationships"><Relationship Id="rId1" Type="http://schemas.openxmlformats.org/officeDocument/2006/relationships/package" Target="../embeddings/Workbook10.xlsx"/></Relationships>
</file>

<file path=word/charts/_rels/chart8.xml.rels><?xml version="1.0" encoding="UTF-8" standalone="yes"?>
<Relationships xmlns="http://schemas.openxmlformats.org/package/2006/relationships"><Relationship Id="rId1" Type="http://schemas.openxmlformats.org/officeDocument/2006/relationships/package" Target="../embeddings/Workbook8.xlsx"/></Relationships>
</file>

<file path=word/charts/_rels/chart9.xml.rels><?xml version="1.0" encoding="UTF-8" standalone="yes"?>
<Relationships xmlns="http://schemas.openxmlformats.org/package/2006/relationships"><Relationship Id="rId1" Type="http://schemas.openxmlformats.org/officeDocument/2006/relationships/package" Target="../embeddings/Workbook6.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253027278775782"/>
          <c:y val="0.129931972789116"/>
          <c:w val="0.292747837658017"/>
          <c:h val="0.748299319727891"/>
        </c:manualLayout>
      </c:layout>
      <c:pieChart>
        <c:varyColors val="1"/>
        <c:ser>
          <c:idx val="0"/>
          <c:order val="0"/>
          <c:spPr/>
          <c:explosion val="25"/>
          <c:dPt>
            <c:idx val="0"/>
            <c:bubble3D val="0"/>
            <c:spPr>
              <a:solidFill>
                <a:schemeClr val="accent6"/>
              </a:solidFill>
              <a:ln>
                <a:noFill/>
              </a:ln>
              <a:effectLst/>
              <a:sp3d/>
            </c:spPr>
          </c:dPt>
          <c:dPt>
            <c:idx val="1"/>
            <c:bubble3D val="0"/>
            <c:spPr>
              <a:solidFill>
                <a:schemeClr val="accent5"/>
              </a:solidFill>
              <a:ln>
                <a:noFill/>
              </a:ln>
              <a:effectLst/>
              <a:sp3d/>
            </c:spPr>
          </c:dPt>
          <c:dPt>
            <c:idx val="2"/>
            <c:bubble3D val="0"/>
            <c:spPr>
              <a:solidFill>
                <a:schemeClr val="accent4"/>
              </a:solidFill>
              <a:ln>
                <a:noFill/>
              </a:ln>
              <a:effectLst/>
              <a:sp3d/>
            </c:spPr>
          </c:dPt>
          <c:dPt>
            <c:idx val="3"/>
            <c:bubble3D val="0"/>
            <c:spPr>
              <a:solidFill>
                <a:schemeClr val="accent6">
                  <a:lumMod val="60000"/>
                </a:schemeClr>
              </a:solidFill>
              <a:ln>
                <a:noFill/>
              </a:ln>
              <a:effectLst/>
              <a:sp3d/>
            </c:spPr>
          </c:dPt>
          <c:dPt>
            <c:idx val="4"/>
            <c:bubble3D val="0"/>
            <c:spPr>
              <a:solidFill>
                <a:schemeClr val="accent5">
                  <a:lumMod val="60000"/>
                </a:schemeClr>
              </a:solidFill>
              <a:ln>
                <a:noFill/>
              </a:ln>
              <a:effectLst/>
              <a:sp3d/>
            </c:spPr>
          </c:dPt>
          <c:dLbls>
            <c:dLbl>
              <c:idx val="0"/>
              <c:layout/>
              <c:tx>
                <c:rich>
                  <a:bodyPr rot="0" spcFirstLastPara="1" vertOverflow="ellipsis" vert="horz" wrap="square" lIns="38100" tIns="19050" rIns="38100" bIns="19050" anchor="ctr" anchorCtr="1"/>
                  <a:lstStyle/>
                  <a:p>
                    <a:pPr>
                      <a:defRPr lang="id-ID" sz="1000" b="1" i="0" u="none" strike="noStrike" kern="1200" baseline="0">
                        <a:solidFill>
                          <a:schemeClr val="tx1"/>
                        </a:solidFill>
                        <a:latin typeface="+mn-lt"/>
                        <a:ea typeface="+mn-ea"/>
                        <a:cs typeface="+mn-cs"/>
                      </a:defRPr>
                    </a:pPr>
                    <a:r>
                      <a:rPr lang="en-ID" altLang="en-US"/>
                      <a:t>20,75</a:t>
                    </a:r>
                    <a:r>
                      <a:rPr lang="en-US"/>
                      <a:t>%</a:t>
                    </a:r>
                    <a:endParaRPr lang="en-US"/>
                  </a:p>
                </c:rich>
              </c:tx>
              <c:dLblPos val="bestFit"/>
              <c:showLegendKey val="0"/>
              <c:showVal val="0"/>
              <c:showCatName val="0"/>
              <c:showSerName val="0"/>
              <c:showPercent val="1"/>
              <c:showBubbleSize val="0"/>
              <c:separator>, </c:separator>
              <c:extLst>
                <c:ext xmlns:c15="http://schemas.microsoft.com/office/drawing/2012/chart" uri="{CE6537A1-D6FC-4f65-9D91-7224C49458BB}"/>
              </c:extLst>
            </c:dLbl>
            <c:dLbl>
              <c:idx val="1"/>
              <c:layout/>
              <c:tx>
                <c:rich>
                  <a:bodyPr rot="0" spcFirstLastPara="1" vertOverflow="ellipsis" vert="horz" wrap="square" lIns="38100" tIns="19050" rIns="38100" bIns="19050" anchor="ctr" anchorCtr="1"/>
                  <a:lstStyle/>
                  <a:p>
                    <a:pPr>
                      <a:defRPr lang="id-ID" sz="1000" b="1" i="0" u="none" strike="noStrike" kern="1200" baseline="0">
                        <a:solidFill>
                          <a:schemeClr val="tx1"/>
                        </a:solidFill>
                        <a:latin typeface="+mn-lt"/>
                        <a:ea typeface="+mn-ea"/>
                        <a:cs typeface="+mn-cs"/>
                      </a:defRPr>
                    </a:pPr>
                    <a:r>
                      <a:rPr lang="en-US"/>
                      <a:t>4</a:t>
                    </a:r>
                    <a:r>
                      <a:rPr lang="en-ID" altLang="en-US"/>
                      <a:t>5,28</a:t>
                    </a:r>
                    <a:r>
                      <a:rPr lang="en-US"/>
                      <a:t>%</a:t>
                    </a:r>
                    <a:endParaRPr lang="en-US"/>
                  </a:p>
                </c:rich>
              </c:tx>
              <c:dLblPos val="bestFit"/>
              <c:showLegendKey val="0"/>
              <c:showVal val="0"/>
              <c:showCatName val="0"/>
              <c:showSerName val="0"/>
              <c:showPercent val="1"/>
              <c:showBubbleSize val="0"/>
              <c:separator>, </c:separator>
              <c:extLst>
                <c:ext xmlns:c15="http://schemas.microsoft.com/office/drawing/2012/chart" uri="{CE6537A1-D6FC-4f65-9D91-7224C49458BB}"/>
              </c:extLst>
            </c:dLbl>
            <c:dLbl>
              <c:idx val="2"/>
              <c:layout/>
              <c:tx>
                <c:rich>
                  <a:bodyPr rot="0" spcFirstLastPara="1" vertOverflow="ellipsis" vert="horz" wrap="square" lIns="38100" tIns="19050" rIns="38100" bIns="19050" anchor="ctr" anchorCtr="1"/>
                  <a:lstStyle/>
                  <a:p>
                    <a:pPr>
                      <a:defRPr lang="id-ID" sz="1000" b="1" i="0" u="none" strike="noStrike" kern="1200" baseline="0">
                        <a:solidFill>
                          <a:schemeClr val="tx1"/>
                        </a:solidFill>
                        <a:latin typeface="+mn-lt"/>
                        <a:ea typeface="+mn-ea"/>
                        <a:cs typeface="+mn-cs"/>
                      </a:defRPr>
                    </a:pPr>
                    <a:r>
                      <a:rPr lang="en-ID" altLang="en-US"/>
                      <a:t>11,32</a:t>
                    </a:r>
                    <a:r>
                      <a:rPr lang="en-US"/>
                      <a:t>%</a:t>
                    </a:r>
                    <a:endParaRPr lang="en-US"/>
                  </a:p>
                </c:rich>
              </c:tx>
              <c:dLblPos val="bestFit"/>
              <c:showLegendKey val="0"/>
              <c:showVal val="0"/>
              <c:showCatName val="0"/>
              <c:showSerName val="0"/>
              <c:showPercent val="1"/>
              <c:showBubbleSize val="0"/>
              <c:separator>, </c:separator>
              <c:extLst>
                <c:ext xmlns:c15="http://schemas.microsoft.com/office/drawing/2012/chart" uri="{CE6537A1-D6FC-4f65-9D91-7224C49458BB}"/>
              </c:extLst>
            </c:dLbl>
            <c:dLbl>
              <c:idx val="3"/>
              <c:layout/>
              <c:tx>
                <c:rich>
                  <a:bodyPr rot="0" spcFirstLastPara="1" vertOverflow="ellipsis" vert="horz" wrap="square" lIns="38100" tIns="19050" rIns="38100" bIns="19050" anchor="ctr" anchorCtr="1"/>
                  <a:lstStyle/>
                  <a:p>
                    <a:pPr>
                      <a:defRPr lang="id-ID" sz="1000" b="1" i="0" u="none" strike="noStrike" kern="1200" baseline="0">
                        <a:solidFill>
                          <a:schemeClr val="tx1"/>
                        </a:solidFill>
                        <a:latin typeface="+mn-lt"/>
                        <a:ea typeface="+mn-ea"/>
                        <a:cs typeface="+mn-cs"/>
                      </a:defRPr>
                    </a:pPr>
                    <a:r>
                      <a:rPr lang="en-ID" altLang="en-US"/>
                      <a:t>24,52</a:t>
                    </a:r>
                    <a:r>
                      <a:rPr lang="en-US"/>
                      <a:t>%</a:t>
                    </a:r>
                    <a:endParaRPr lang="en-US"/>
                  </a:p>
                </c:rich>
              </c:tx>
              <c:dLblPos val="bestFit"/>
              <c:showLegendKey val="0"/>
              <c:showVal val="0"/>
              <c:showCatName val="0"/>
              <c:showSerName val="0"/>
              <c:showPercent val="1"/>
              <c:showBubbleSize val="0"/>
              <c:separator>, </c:separator>
              <c:extLst>
                <c:ext xmlns:c15="http://schemas.microsoft.com/office/drawing/2012/chart" uri="{CE6537A1-D6FC-4f65-9D91-7224C49458BB}"/>
              </c:extLst>
            </c:dLbl>
            <c:dLbl>
              <c:idx val="4"/>
              <c:delete val="1"/>
            </c:dLbl>
            <c:numFmt formatCode="0.00%" sourceLinked="0"/>
            <c:spPr>
              <a:noFill/>
              <a:ln>
                <a:noFill/>
              </a:ln>
              <a:effectLst/>
            </c:spPr>
            <c:txPr>
              <a:bodyPr rot="0" spcFirstLastPara="1" vertOverflow="ellipsis" vert="horz" wrap="square" lIns="38100" tIns="19050" rIns="38100" bIns="19050" anchor="ctr" anchorCtr="1"/>
              <a:lstStyle/>
              <a:p>
                <a:pPr>
                  <a:defRPr lang="id-ID" sz="1000" b="1" i="0" u="none" strike="noStrike" kern="1200" baseline="0">
                    <a:solidFill>
                      <a:schemeClr val="tx1"/>
                    </a:solidFill>
                    <a:latin typeface="+mn-lt"/>
                    <a:ea typeface="+mn-ea"/>
                    <a:cs typeface="+mn-cs"/>
                  </a:defRPr>
                </a:pPr>
              </a:p>
            </c:txPr>
            <c:dLblPos val="bestFit"/>
            <c:showLegendKey val="0"/>
            <c:showVal val="0"/>
            <c:showCatName val="0"/>
            <c:showSerName val="0"/>
            <c:showPercent val="1"/>
            <c:showBubbleSize val="0"/>
            <c:separator>, </c:separator>
            <c:showLeaderLines val="1"/>
            <c:extLst>
              <c:ext xmlns:c15="http://schemas.microsoft.com/office/drawing/2012/chart" uri="{CE6537A1-D6FC-4f65-9D91-7224C49458BB}">
                <c15:layout/>
                <c15:showLeaderLines val="1"/>
                <c15:leaderLines>
                  <c:spPr>
                    <a:ln w="6350" cap="flat" cmpd="sng" algn="ctr">
                      <a:solidFill>
                        <a:schemeClr val="tx1"/>
                      </a:solidFill>
                      <a:prstDash val="solid"/>
                      <a:round/>
                    </a:ln>
                    <a:effectLst/>
                  </c:spPr>
                </c15:leaderLines>
              </c:ext>
            </c:extLst>
          </c:dLbls>
          <c:cat>
            <c:strRef>
              <c:f>Sheet1!$F$17:$F$21</c:f>
              <c:strCache>
                <c:ptCount val="5"/>
                <c:pt idx="0">
                  <c:v>Strata 2</c:v>
                </c:pt>
                <c:pt idx="1">
                  <c:v>Strata 1</c:v>
                </c:pt>
                <c:pt idx="2">
                  <c:v>Sarmud/ D3</c:v>
                </c:pt>
                <c:pt idx="3">
                  <c:v>SLTA</c:v>
                </c:pt>
                <c:pt idx="4">
                  <c:v>SD</c:v>
                </c:pt>
              </c:strCache>
            </c:strRef>
          </c:cat>
          <c:val>
            <c:numRef>
              <c:f>Sheet1!$G$17:$G$21</c:f>
              <c:numCache>
                <c:formatCode>0.00</c:formatCode>
                <c:ptCount val="5"/>
                <c:pt idx="0">
                  <c:v>24.5098039215686</c:v>
                </c:pt>
                <c:pt idx="1">
                  <c:v>34.313725490196</c:v>
                </c:pt>
                <c:pt idx="2">
                  <c:v>2.94117647058823</c:v>
                </c:pt>
                <c:pt idx="3">
                  <c:v>37.2549019607843</c:v>
                </c:pt>
                <c:pt idx="4">
                  <c:v>0.980392156862743</c:v>
                </c:pt>
              </c:numCache>
            </c:numRef>
          </c:val>
        </c:ser>
        <c:dLbls>
          <c:showLegendKey val="0"/>
          <c:showVal val="0"/>
          <c:showCatName val="0"/>
          <c:showSerName val="0"/>
          <c:showPercent val="1"/>
          <c:showBubbleSize val="0"/>
          <c:showLeaderLines val="1"/>
        </c:dLbls>
        <c:firstSliceAng val="0"/>
      </c:pieChart>
      <c:spPr>
        <a:noFill/>
        <a:ln>
          <a:noFill/>
        </a:ln>
        <a:effectLst/>
      </c:spPr>
    </c:plotArea>
    <c:legend>
      <c:legendPos val="r"/>
      <c:layout>
        <c:manualLayout>
          <c:xMode val="edge"/>
          <c:yMode val="edge"/>
          <c:x val="0.734181977252844"/>
          <c:y val="0.255927019539224"/>
          <c:w val="0.182484689413824"/>
          <c:h val="0.373228346456693"/>
        </c:manualLayout>
      </c:layout>
      <c:overlay val="0"/>
      <c:spPr>
        <a:noFill/>
        <a:ln>
          <a:noFill/>
        </a:ln>
        <a:effectLst/>
      </c:spPr>
      <c:txPr>
        <a:bodyPr rot="0" spcFirstLastPara="1" vertOverflow="ellipsis" vert="horz" wrap="square" anchor="ctr" anchorCtr="1"/>
        <a:lstStyle/>
        <a:p>
          <a:pPr>
            <a:defRPr lang="id-ID" sz="1000" b="0" i="0" u="none" strike="noStrike" kern="1200" baseline="0">
              <a:solidFill>
                <a:schemeClr val="tx1"/>
              </a:solidFill>
              <a:latin typeface="+mn-lt"/>
              <a:ea typeface="+mn-ea"/>
              <a:cs typeface="+mn-cs"/>
            </a:defRPr>
          </a:pPr>
        </a:p>
      </c:txPr>
    </c:legend>
    <c:plotVisOnly val="1"/>
    <c:dispBlanksAs val="gap"/>
    <c:showDLblsOverMax val="0"/>
  </c:chart>
  <c:spPr>
    <a:solidFill>
      <a:schemeClr val="bg1"/>
    </a:solidFill>
    <a:ln w="6350" cap="flat" cmpd="sng" algn="ctr">
      <a:solidFill>
        <a:schemeClr val="tx1">
          <a:tint val="75000"/>
        </a:schemeClr>
      </a:solidFill>
      <a:prstDash val="solid"/>
      <a:round/>
    </a:ln>
    <a:effectLst>
      <a:outerShdw blurRad="50800" dist="38100" dir="5400000" algn="t" rotWithShape="0">
        <a:prstClr val="black">
          <a:alpha val="40000"/>
        </a:prstClr>
      </a:outerShdw>
    </a:effectLst>
  </c:spPr>
  <c:txPr>
    <a:bodyPr/>
    <a:lstStyle/>
    <a:p>
      <a:pPr>
        <a:defRPr lang="id-ID"/>
      </a:pPr>
    </a:p>
  </c:txPr>
  <c:externalData r:id="rId1">
    <c:autoUpdate val="0"/>
  </c:externalData>
</c:chartSpace>
</file>

<file path=word/charts/chart10.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Sheet1!$B$1</c:f>
              <c:strCache>
                <c:ptCount val="1"/>
                <c:pt idx="0">
                  <c:v>Target</c:v>
                </c:pt>
              </c:strCache>
            </c:strRef>
          </c:tx>
          <c:invertIfNegative val="0"/>
          <c:dLbls>
            <c:delete val="1"/>
          </c:dLbls>
          <c:cat>
            <c:numRef>
              <c:f>Sheet1!$A$2:$A$3</c:f>
              <c:numCache>
                <c:formatCode>General</c:formatCode>
                <c:ptCount val="2"/>
                <c:pt idx="0">
                  <c:v>2014</c:v>
                </c:pt>
                <c:pt idx="1">
                  <c:v>2015</c:v>
                </c:pt>
              </c:numCache>
            </c:numRef>
          </c:cat>
          <c:val>
            <c:numRef>
              <c:f>Sheet1!$B$2:$B$3</c:f>
              <c:numCache>
                <c:formatCode>0%</c:formatCode>
                <c:ptCount val="2"/>
                <c:pt idx="0">
                  <c:v>0.18</c:v>
                </c:pt>
                <c:pt idx="1">
                  <c:v>0.2</c:v>
                </c:pt>
              </c:numCache>
            </c:numRef>
          </c:val>
        </c:ser>
        <c:ser>
          <c:idx val="1"/>
          <c:order val="1"/>
          <c:tx>
            <c:strRef>
              <c:f>Sheet1!$C$1</c:f>
              <c:strCache>
                <c:ptCount val="1"/>
                <c:pt idx="0">
                  <c:v>Realisasi</c:v>
                </c:pt>
              </c:strCache>
            </c:strRef>
          </c:tx>
          <c:invertIfNegative val="0"/>
          <c:dLbls>
            <c:delete val="1"/>
          </c:dLbls>
          <c:cat>
            <c:numRef>
              <c:f>Sheet1!$A$2:$A$3</c:f>
              <c:numCache>
                <c:formatCode>General</c:formatCode>
                <c:ptCount val="2"/>
                <c:pt idx="0">
                  <c:v>2014</c:v>
                </c:pt>
                <c:pt idx="1">
                  <c:v>2015</c:v>
                </c:pt>
              </c:numCache>
            </c:numRef>
          </c:cat>
          <c:val>
            <c:numRef>
              <c:f>Sheet1!$C$2:$C$3</c:f>
              <c:numCache>
                <c:formatCode>0%</c:formatCode>
                <c:ptCount val="2"/>
                <c:pt idx="0">
                  <c:v>0.18</c:v>
                </c:pt>
                <c:pt idx="1">
                  <c:v>0.15</c:v>
                </c:pt>
              </c:numCache>
            </c:numRef>
          </c:val>
        </c:ser>
        <c:dLbls>
          <c:showLegendKey val="0"/>
          <c:showVal val="0"/>
          <c:showCatName val="0"/>
          <c:showSerName val="0"/>
          <c:showPercent val="0"/>
          <c:showBubbleSize val="0"/>
        </c:dLbls>
        <c:gapWidth val="150"/>
        <c:axId val="101892864"/>
        <c:axId val="101894400"/>
      </c:barChart>
      <c:catAx>
        <c:axId val="101892864"/>
        <c:scaling>
          <c:orientation val="minMax"/>
        </c:scaling>
        <c:delete val="0"/>
        <c:axPos val="b"/>
        <c:numFmt formatCode="General" sourceLinked="1"/>
        <c:majorTickMark val="none"/>
        <c:minorTickMark val="none"/>
        <c:tickLblPos val="nextTo"/>
        <c:txPr>
          <a:bodyPr rot="-60000000" spcFirstLastPara="0" vertOverflow="ellipsis" vert="horz" wrap="square" anchor="ctr" anchorCtr="1"/>
          <a:lstStyle/>
          <a:p>
            <a:pPr>
              <a:defRPr lang="id-ID" sz="1000" b="0" i="0" u="none" strike="noStrike" kern="1200" baseline="0">
                <a:solidFill>
                  <a:schemeClr val="tx1"/>
                </a:solidFill>
                <a:latin typeface="+mn-lt"/>
                <a:ea typeface="+mn-ea"/>
                <a:cs typeface="+mn-cs"/>
              </a:defRPr>
            </a:pPr>
          </a:p>
        </c:txPr>
        <c:crossAx val="101894400"/>
        <c:crosses val="autoZero"/>
        <c:auto val="0"/>
        <c:lblAlgn val="ctr"/>
        <c:lblOffset val="100"/>
        <c:noMultiLvlLbl val="0"/>
      </c:catAx>
      <c:valAx>
        <c:axId val="101894400"/>
        <c:scaling>
          <c:orientation val="minMax"/>
        </c:scaling>
        <c:delete val="0"/>
        <c:axPos val="l"/>
        <c:majorGridlines/>
        <c:title>
          <c:tx>
            <c:rich>
              <a:bodyPr rot="0" spcFirstLastPara="0" vertOverflow="ellipsis" vert="horz" wrap="square" anchor="ctr" anchorCtr="1"/>
              <a:lstStyle/>
              <a:p>
                <a:pPr>
                  <a:defRPr lang="id-ID" sz="1000" b="1" i="0" u="none" strike="noStrike" kern="1200" baseline="0">
                    <a:solidFill>
                      <a:schemeClr val="tx1"/>
                    </a:solidFill>
                    <a:latin typeface="+mn-lt"/>
                    <a:ea typeface="+mn-ea"/>
                    <a:cs typeface="+mn-cs"/>
                  </a:defRPr>
                </a:pPr>
                <a:r>
                  <a:rPr lang="id-ID" sz="900"/>
                  <a:t>% Target</a:t>
                </a:r>
                <a:endParaRPr lang="id-ID" sz="900" baseline="0"/>
              </a:p>
            </c:rich>
          </c:tx>
          <c:layout>
            <c:manualLayout>
              <c:xMode val="edge"/>
              <c:yMode val="edge"/>
              <c:x val="0.0152361604875571"/>
              <c:y val="0.327328065872702"/>
            </c:manualLayout>
          </c:layout>
          <c:overlay val="0"/>
        </c:title>
        <c:numFmt formatCode="0%" sourceLinked="1"/>
        <c:majorTickMark val="none"/>
        <c:minorTickMark val="none"/>
        <c:tickLblPos val="nextTo"/>
        <c:txPr>
          <a:bodyPr rot="-60000000" spcFirstLastPara="0" vertOverflow="ellipsis" vert="horz" wrap="square" anchor="ctr" anchorCtr="1"/>
          <a:lstStyle/>
          <a:p>
            <a:pPr>
              <a:defRPr lang="id-ID" sz="1000" b="0" i="0" u="none" strike="noStrike" kern="1200" baseline="0">
                <a:solidFill>
                  <a:schemeClr val="tx1"/>
                </a:solidFill>
                <a:latin typeface="+mn-lt"/>
                <a:ea typeface="+mn-ea"/>
                <a:cs typeface="+mn-cs"/>
              </a:defRPr>
            </a:pPr>
          </a:p>
        </c:txPr>
        <c:crossAx val="101892864"/>
        <c:crosses val="autoZero"/>
        <c:crossBetween val="between"/>
      </c:valAx>
      <c:dTable>
        <c:showHorzBorder val="1"/>
        <c:showVertBorder val="1"/>
        <c:showOutline val="1"/>
        <c:showKeys val="1"/>
        <c:txPr>
          <a:bodyPr rot="0" spcFirstLastPara="0" vertOverflow="ellipsis" vert="horz" wrap="square" anchor="ctr" anchorCtr="1"/>
          <a:lstStyle/>
          <a:p>
            <a:pPr>
              <a:defRPr lang="id-ID" sz="1000" b="0" i="0" u="none" strike="noStrike" kern="1200" baseline="0">
                <a:solidFill>
                  <a:schemeClr val="tx1"/>
                </a:solidFill>
                <a:latin typeface="+mn-lt"/>
                <a:ea typeface="+mn-ea"/>
                <a:cs typeface="+mn-cs"/>
              </a:defRPr>
            </a:pPr>
          </a:p>
        </c:txPr>
      </c:dTable>
    </c:plotArea>
    <c:plotVisOnly val="1"/>
    <c:dispBlanksAs val="zero"/>
    <c:showDLblsOverMax val="0"/>
  </c:chart>
  <c:txPr>
    <a:bodyPr/>
    <a:lstStyle/>
    <a:p>
      <a:pPr>
        <a:defRPr lang="id-ID"/>
      </a:pPr>
    </a:p>
  </c:txPr>
  <c:externalData r:id="rId1">
    <c:autoUpdate val="0"/>
  </c:externalData>
</c:chartSpace>
</file>

<file path=word/charts/chart1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Sheet1!$B$1</c:f>
              <c:strCache>
                <c:ptCount val="1"/>
                <c:pt idx="0">
                  <c:v>Target</c:v>
                </c:pt>
              </c:strCache>
            </c:strRef>
          </c:tx>
          <c:invertIfNegative val="0"/>
          <c:dLbls>
            <c:delete val="1"/>
          </c:dLbls>
          <c:cat>
            <c:numRef>
              <c:f>Sheet1!$A$2:$A$3</c:f>
              <c:numCache>
                <c:formatCode>General</c:formatCode>
                <c:ptCount val="2"/>
                <c:pt idx="0">
                  <c:v>2014</c:v>
                </c:pt>
                <c:pt idx="1">
                  <c:v>2015</c:v>
                </c:pt>
              </c:numCache>
            </c:numRef>
          </c:cat>
          <c:val>
            <c:numRef>
              <c:f>Sheet1!$B$2:$B$3</c:f>
              <c:numCache>
                <c:formatCode>0%</c:formatCode>
                <c:ptCount val="2"/>
                <c:pt idx="0">
                  <c:v>0.07</c:v>
                </c:pt>
                <c:pt idx="1">
                  <c:v>0.1</c:v>
                </c:pt>
              </c:numCache>
            </c:numRef>
          </c:val>
        </c:ser>
        <c:ser>
          <c:idx val="1"/>
          <c:order val="1"/>
          <c:tx>
            <c:strRef>
              <c:f>Sheet1!$C$1</c:f>
              <c:strCache>
                <c:ptCount val="1"/>
                <c:pt idx="0">
                  <c:v>Realisasi</c:v>
                </c:pt>
              </c:strCache>
            </c:strRef>
          </c:tx>
          <c:invertIfNegative val="0"/>
          <c:dLbls>
            <c:delete val="1"/>
          </c:dLbls>
          <c:cat>
            <c:numRef>
              <c:f>Sheet1!$A$2:$A$3</c:f>
              <c:numCache>
                <c:formatCode>General</c:formatCode>
                <c:ptCount val="2"/>
                <c:pt idx="0">
                  <c:v>2014</c:v>
                </c:pt>
                <c:pt idx="1">
                  <c:v>2015</c:v>
                </c:pt>
              </c:numCache>
            </c:numRef>
          </c:cat>
          <c:val>
            <c:numRef>
              <c:f>Sheet1!$C$2:$C$3</c:f>
              <c:numCache>
                <c:formatCode>0%</c:formatCode>
                <c:ptCount val="2"/>
                <c:pt idx="0">
                  <c:v>0.07</c:v>
                </c:pt>
                <c:pt idx="1">
                  <c:v>0.15</c:v>
                </c:pt>
              </c:numCache>
            </c:numRef>
          </c:val>
        </c:ser>
        <c:dLbls>
          <c:showLegendKey val="0"/>
          <c:showVal val="0"/>
          <c:showCatName val="0"/>
          <c:showSerName val="0"/>
          <c:showPercent val="0"/>
          <c:showBubbleSize val="0"/>
        </c:dLbls>
        <c:gapWidth val="150"/>
        <c:axId val="101855232"/>
        <c:axId val="101856768"/>
      </c:barChart>
      <c:catAx>
        <c:axId val="101855232"/>
        <c:scaling>
          <c:orientation val="minMax"/>
        </c:scaling>
        <c:delete val="0"/>
        <c:axPos val="b"/>
        <c:numFmt formatCode="General" sourceLinked="1"/>
        <c:majorTickMark val="none"/>
        <c:minorTickMark val="none"/>
        <c:tickLblPos val="nextTo"/>
        <c:txPr>
          <a:bodyPr rot="-60000000" spcFirstLastPara="0" vertOverflow="ellipsis" vert="horz" wrap="square" anchor="ctr" anchorCtr="1"/>
          <a:lstStyle/>
          <a:p>
            <a:pPr>
              <a:defRPr lang="id-ID" sz="1000" b="0" i="0" u="none" strike="noStrike" kern="1200" baseline="0">
                <a:solidFill>
                  <a:schemeClr val="tx1"/>
                </a:solidFill>
                <a:latin typeface="+mn-lt"/>
                <a:ea typeface="+mn-ea"/>
                <a:cs typeface="+mn-cs"/>
              </a:defRPr>
            </a:pPr>
          </a:p>
        </c:txPr>
        <c:crossAx val="101856768"/>
        <c:crosses val="autoZero"/>
        <c:auto val="0"/>
        <c:lblAlgn val="ctr"/>
        <c:lblOffset val="100"/>
        <c:noMultiLvlLbl val="0"/>
      </c:catAx>
      <c:valAx>
        <c:axId val="101856768"/>
        <c:scaling>
          <c:orientation val="minMax"/>
        </c:scaling>
        <c:delete val="0"/>
        <c:axPos val="l"/>
        <c:majorGridlines/>
        <c:title>
          <c:tx>
            <c:rich>
              <a:bodyPr rot="0" spcFirstLastPara="0" vertOverflow="ellipsis" vert="horz" wrap="square" anchor="ctr" anchorCtr="1"/>
              <a:lstStyle/>
              <a:p>
                <a:pPr>
                  <a:defRPr lang="id-ID" sz="1000" b="1" i="0" u="none" strike="noStrike" kern="1200" baseline="0">
                    <a:solidFill>
                      <a:schemeClr val="tx1"/>
                    </a:solidFill>
                    <a:latin typeface="+mn-lt"/>
                    <a:ea typeface="+mn-ea"/>
                    <a:cs typeface="+mn-cs"/>
                  </a:defRPr>
                </a:pPr>
                <a:r>
                  <a:rPr lang="id-ID" sz="900"/>
                  <a:t>% Target</a:t>
                </a:r>
                <a:endParaRPr lang="id-ID" sz="900" baseline="0"/>
              </a:p>
            </c:rich>
          </c:tx>
          <c:layout>
            <c:manualLayout>
              <c:xMode val="edge"/>
              <c:yMode val="edge"/>
              <c:x val="0.0152361604875571"/>
              <c:y val="0.327328065872702"/>
            </c:manualLayout>
          </c:layout>
          <c:overlay val="0"/>
        </c:title>
        <c:numFmt formatCode="0%" sourceLinked="1"/>
        <c:majorTickMark val="none"/>
        <c:minorTickMark val="none"/>
        <c:tickLblPos val="nextTo"/>
        <c:txPr>
          <a:bodyPr rot="-60000000" spcFirstLastPara="0" vertOverflow="ellipsis" vert="horz" wrap="square" anchor="ctr" anchorCtr="1"/>
          <a:lstStyle/>
          <a:p>
            <a:pPr>
              <a:defRPr lang="id-ID" sz="1000" b="0" i="0" u="none" strike="noStrike" kern="1200" baseline="0">
                <a:solidFill>
                  <a:schemeClr val="tx1"/>
                </a:solidFill>
                <a:latin typeface="+mn-lt"/>
                <a:ea typeface="+mn-ea"/>
                <a:cs typeface="+mn-cs"/>
              </a:defRPr>
            </a:pPr>
          </a:p>
        </c:txPr>
        <c:crossAx val="101855232"/>
        <c:crosses val="autoZero"/>
        <c:crossBetween val="between"/>
      </c:valAx>
      <c:dTable>
        <c:showHorzBorder val="1"/>
        <c:showVertBorder val="1"/>
        <c:showOutline val="1"/>
        <c:showKeys val="1"/>
        <c:txPr>
          <a:bodyPr rot="0" spcFirstLastPara="0" vertOverflow="ellipsis" vert="horz" wrap="square" anchor="ctr" anchorCtr="1"/>
          <a:lstStyle/>
          <a:p>
            <a:pPr>
              <a:defRPr lang="id-ID" sz="1000" b="0" i="0" u="none" strike="noStrike" kern="1200" baseline="0">
                <a:solidFill>
                  <a:schemeClr val="tx1"/>
                </a:solidFill>
                <a:latin typeface="+mn-lt"/>
                <a:ea typeface="+mn-ea"/>
                <a:cs typeface="+mn-cs"/>
              </a:defRPr>
            </a:pPr>
          </a:p>
        </c:txPr>
      </c:dTable>
    </c:plotArea>
    <c:plotVisOnly val="1"/>
    <c:dispBlanksAs val="zero"/>
    <c:showDLblsOverMax val="0"/>
  </c:chart>
  <c:txPr>
    <a:bodyPr/>
    <a:lstStyle/>
    <a:p>
      <a:pPr>
        <a:defRPr lang="id-ID"/>
      </a:pPr>
    </a:p>
  </c:txPr>
  <c:externalData r:id="rId1">
    <c:autoUpdate val="0"/>
  </c:externalData>
</c:chartSpace>
</file>

<file path=word/charts/chart1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Sheet1!$B$1</c:f>
              <c:strCache>
                <c:ptCount val="1"/>
                <c:pt idx="0">
                  <c:v>Target</c:v>
                </c:pt>
              </c:strCache>
            </c:strRef>
          </c:tx>
          <c:invertIfNegative val="0"/>
          <c:dLbls>
            <c:delete val="1"/>
          </c:dLbls>
          <c:cat>
            <c:numRef>
              <c:f>Sheet1!$A$2:$A$3</c:f>
              <c:numCache>
                <c:formatCode>General</c:formatCode>
                <c:ptCount val="2"/>
                <c:pt idx="0">
                  <c:v>2014</c:v>
                </c:pt>
                <c:pt idx="1">
                  <c:v>2015</c:v>
                </c:pt>
              </c:numCache>
            </c:numRef>
          </c:cat>
          <c:val>
            <c:numRef>
              <c:f>Sheet1!$B$2:$B$3</c:f>
              <c:numCache>
                <c:formatCode>0%</c:formatCode>
                <c:ptCount val="2"/>
                <c:pt idx="0">
                  <c:v>0.25</c:v>
                </c:pt>
                <c:pt idx="1">
                  <c:v>0.5</c:v>
                </c:pt>
              </c:numCache>
            </c:numRef>
          </c:val>
        </c:ser>
        <c:ser>
          <c:idx val="1"/>
          <c:order val="1"/>
          <c:tx>
            <c:strRef>
              <c:f>Sheet1!$C$1</c:f>
              <c:strCache>
                <c:ptCount val="1"/>
                <c:pt idx="0">
                  <c:v>Realisasi</c:v>
                </c:pt>
              </c:strCache>
            </c:strRef>
          </c:tx>
          <c:invertIfNegative val="0"/>
          <c:dLbls>
            <c:delete val="1"/>
          </c:dLbls>
          <c:cat>
            <c:numRef>
              <c:f>Sheet1!$A$2:$A$3</c:f>
              <c:numCache>
                <c:formatCode>General</c:formatCode>
                <c:ptCount val="2"/>
                <c:pt idx="0">
                  <c:v>2014</c:v>
                </c:pt>
                <c:pt idx="1">
                  <c:v>2015</c:v>
                </c:pt>
              </c:numCache>
            </c:numRef>
          </c:cat>
          <c:val>
            <c:numRef>
              <c:f>Sheet1!$C$2:$C$3</c:f>
              <c:numCache>
                <c:formatCode>0%</c:formatCode>
                <c:ptCount val="2"/>
                <c:pt idx="0">
                  <c:v>0.25</c:v>
                </c:pt>
                <c:pt idx="1">
                  <c:v>0.5</c:v>
                </c:pt>
              </c:numCache>
            </c:numRef>
          </c:val>
        </c:ser>
        <c:dLbls>
          <c:showLegendKey val="0"/>
          <c:showVal val="0"/>
          <c:showCatName val="0"/>
          <c:showSerName val="0"/>
          <c:showPercent val="0"/>
          <c:showBubbleSize val="0"/>
        </c:dLbls>
        <c:gapWidth val="150"/>
        <c:axId val="101878784"/>
        <c:axId val="105935616"/>
      </c:barChart>
      <c:catAx>
        <c:axId val="101878784"/>
        <c:scaling>
          <c:orientation val="minMax"/>
        </c:scaling>
        <c:delete val="0"/>
        <c:axPos val="b"/>
        <c:numFmt formatCode="General" sourceLinked="1"/>
        <c:majorTickMark val="none"/>
        <c:minorTickMark val="none"/>
        <c:tickLblPos val="nextTo"/>
        <c:txPr>
          <a:bodyPr rot="-60000000" spcFirstLastPara="0" vertOverflow="ellipsis" vert="horz" wrap="square" anchor="ctr" anchorCtr="1"/>
          <a:lstStyle/>
          <a:p>
            <a:pPr>
              <a:defRPr lang="id-ID" sz="1000" b="0" i="0" u="none" strike="noStrike" kern="1200" baseline="0">
                <a:solidFill>
                  <a:schemeClr val="tx1"/>
                </a:solidFill>
                <a:latin typeface="+mn-lt"/>
                <a:ea typeface="+mn-ea"/>
                <a:cs typeface="+mn-cs"/>
              </a:defRPr>
            </a:pPr>
          </a:p>
        </c:txPr>
        <c:crossAx val="105935616"/>
        <c:crosses val="autoZero"/>
        <c:auto val="0"/>
        <c:lblAlgn val="ctr"/>
        <c:lblOffset val="100"/>
        <c:noMultiLvlLbl val="0"/>
      </c:catAx>
      <c:valAx>
        <c:axId val="105935616"/>
        <c:scaling>
          <c:orientation val="minMax"/>
        </c:scaling>
        <c:delete val="0"/>
        <c:axPos val="l"/>
        <c:majorGridlines/>
        <c:title>
          <c:tx>
            <c:rich>
              <a:bodyPr rot="0" spcFirstLastPara="0" vertOverflow="ellipsis" vert="horz" wrap="square" anchor="ctr" anchorCtr="1"/>
              <a:lstStyle/>
              <a:p>
                <a:pPr>
                  <a:defRPr lang="id-ID" sz="1000" b="1" i="0" u="none" strike="noStrike" kern="1200" baseline="0">
                    <a:solidFill>
                      <a:schemeClr val="tx1"/>
                    </a:solidFill>
                    <a:latin typeface="+mn-lt"/>
                    <a:ea typeface="+mn-ea"/>
                    <a:cs typeface="+mn-cs"/>
                  </a:defRPr>
                </a:pPr>
                <a:r>
                  <a:rPr lang="id-ID" sz="900"/>
                  <a:t>% Target</a:t>
                </a:r>
                <a:endParaRPr lang="id-ID" sz="900" baseline="0"/>
              </a:p>
            </c:rich>
          </c:tx>
          <c:layout>
            <c:manualLayout>
              <c:xMode val="edge"/>
              <c:yMode val="edge"/>
              <c:x val="0.0152361604875571"/>
              <c:y val="0.327328065872702"/>
            </c:manualLayout>
          </c:layout>
          <c:overlay val="0"/>
        </c:title>
        <c:numFmt formatCode="0%" sourceLinked="1"/>
        <c:majorTickMark val="none"/>
        <c:minorTickMark val="none"/>
        <c:tickLblPos val="nextTo"/>
        <c:txPr>
          <a:bodyPr rot="-60000000" spcFirstLastPara="0" vertOverflow="ellipsis" vert="horz" wrap="square" anchor="ctr" anchorCtr="1"/>
          <a:lstStyle/>
          <a:p>
            <a:pPr>
              <a:defRPr lang="id-ID" sz="1000" b="0" i="0" u="none" strike="noStrike" kern="1200" baseline="0">
                <a:solidFill>
                  <a:schemeClr val="tx1"/>
                </a:solidFill>
                <a:latin typeface="+mn-lt"/>
                <a:ea typeface="+mn-ea"/>
                <a:cs typeface="+mn-cs"/>
              </a:defRPr>
            </a:pPr>
          </a:p>
        </c:txPr>
        <c:crossAx val="101878784"/>
        <c:crosses val="autoZero"/>
        <c:crossBetween val="between"/>
      </c:valAx>
      <c:dTable>
        <c:showHorzBorder val="1"/>
        <c:showVertBorder val="1"/>
        <c:showOutline val="1"/>
        <c:showKeys val="1"/>
        <c:txPr>
          <a:bodyPr rot="0" spcFirstLastPara="0" vertOverflow="ellipsis" vert="horz" wrap="square" anchor="ctr" anchorCtr="1"/>
          <a:lstStyle/>
          <a:p>
            <a:pPr>
              <a:defRPr lang="id-ID" sz="1000" b="0" i="0" u="none" strike="noStrike" kern="1200" baseline="0">
                <a:solidFill>
                  <a:schemeClr val="tx1"/>
                </a:solidFill>
                <a:latin typeface="+mn-lt"/>
                <a:ea typeface="+mn-ea"/>
                <a:cs typeface="+mn-cs"/>
              </a:defRPr>
            </a:pPr>
          </a:p>
        </c:txPr>
      </c:dTable>
    </c:plotArea>
    <c:plotVisOnly val="1"/>
    <c:dispBlanksAs val="zero"/>
    <c:showDLblsOverMax val="0"/>
  </c:chart>
  <c:txPr>
    <a:bodyPr/>
    <a:lstStyle/>
    <a:p>
      <a:pPr>
        <a:defRPr lang="id-ID"/>
      </a:pPr>
    </a:p>
  </c:txPr>
  <c:externalData r:id="rId1">
    <c:autoUpdate val="0"/>
  </c:externalData>
</c:chartSpace>
</file>

<file path=word/charts/chart1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Sheet1!$B$1</c:f>
              <c:strCache>
                <c:ptCount val="1"/>
                <c:pt idx="0">
                  <c:v>Target</c:v>
                </c:pt>
              </c:strCache>
            </c:strRef>
          </c:tx>
          <c:invertIfNegative val="0"/>
          <c:dLbls>
            <c:delete val="1"/>
          </c:dLbls>
          <c:cat>
            <c:numRef>
              <c:f>Sheet1!$A$2:$A$3</c:f>
              <c:numCache>
                <c:formatCode>General</c:formatCode>
                <c:ptCount val="2"/>
                <c:pt idx="0">
                  <c:v>2014</c:v>
                </c:pt>
                <c:pt idx="1">
                  <c:v>2015</c:v>
                </c:pt>
              </c:numCache>
            </c:numRef>
          </c:cat>
          <c:val>
            <c:numRef>
              <c:f>Sheet1!$B$2:$B$3</c:f>
              <c:numCache>
                <c:formatCode>0%</c:formatCode>
                <c:ptCount val="2"/>
                <c:pt idx="0">
                  <c:v>0.950000000000001</c:v>
                </c:pt>
                <c:pt idx="1">
                  <c:v>0.950000000000001</c:v>
                </c:pt>
              </c:numCache>
            </c:numRef>
          </c:val>
        </c:ser>
        <c:ser>
          <c:idx val="1"/>
          <c:order val="1"/>
          <c:tx>
            <c:strRef>
              <c:f>Sheet1!$C$1</c:f>
              <c:strCache>
                <c:ptCount val="1"/>
                <c:pt idx="0">
                  <c:v>Realisasi</c:v>
                </c:pt>
              </c:strCache>
            </c:strRef>
          </c:tx>
          <c:invertIfNegative val="0"/>
          <c:dLbls>
            <c:delete val="1"/>
          </c:dLbls>
          <c:cat>
            <c:numRef>
              <c:f>Sheet1!$A$2:$A$3</c:f>
              <c:numCache>
                <c:formatCode>General</c:formatCode>
                <c:ptCount val="2"/>
                <c:pt idx="0">
                  <c:v>2014</c:v>
                </c:pt>
                <c:pt idx="1">
                  <c:v>2015</c:v>
                </c:pt>
              </c:numCache>
            </c:numRef>
          </c:cat>
          <c:val>
            <c:numRef>
              <c:f>Sheet1!$C$2:$C$3</c:f>
              <c:numCache>
                <c:formatCode>0%</c:formatCode>
                <c:ptCount val="2"/>
                <c:pt idx="0">
                  <c:v>0.950000000000001</c:v>
                </c:pt>
                <c:pt idx="1">
                  <c:v>1.05</c:v>
                </c:pt>
              </c:numCache>
            </c:numRef>
          </c:val>
        </c:ser>
        <c:dLbls>
          <c:showLegendKey val="0"/>
          <c:showVal val="0"/>
          <c:showCatName val="0"/>
          <c:showSerName val="0"/>
          <c:showPercent val="0"/>
          <c:showBubbleSize val="0"/>
        </c:dLbls>
        <c:gapWidth val="150"/>
        <c:axId val="102029568"/>
        <c:axId val="102035456"/>
      </c:barChart>
      <c:catAx>
        <c:axId val="102029568"/>
        <c:scaling>
          <c:orientation val="minMax"/>
        </c:scaling>
        <c:delete val="0"/>
        <c:axPos val="b"/>
        <c:numFmt formatCode="General" sourceLinked="1"/>
        <c:majorTickMark val="none"/>
        <c:minorTickMark val="none"/>
        <c:tickLblPos val="nextTo"/>
        <c:txPr>
          <a:bodyPr rot="-60000000" spcFirstLastPara="0" vertOverflow="ellipsis" vert="horz" wrap="square" anchor="ctr" anchorCtr="1"/>
          <a:lstStyle/>
          <a:p>
            <a:pPr>
              <a:defRPr lang="id-ID" sz="1000" b="0" i="0" u="none" strike="noStrike" kern="1200" baseline="0">
                <a:solidFill>
                  <a:schemeClr val="tx1"/>
                </a:solidFill>
                <a:latin typeface="+mn-lt"/>
                <a:ea typeface="+mn-ea"/>
                <a:cs typeface="+mn-cs"/>
              </a:defRPr>
            </a:pPr>
          </a:p>
        </c:txPr>
        <c:crossAx val="102035456"/>
        <c:crosses val="autoZero"/>
        <c:auto val="0"/>
        <c:lblAlgn val="ctr"/>
        <c:lblOffset val="100"/>
        <c:noMultiLvlLbl val="0"/>
      </c:catAx>
      <c:valAx>
        <c:axId val="102035456"/>
        <c:scaling>
          <c:orientation val="minMax"/>
        </c:scaling>
        <c:delete val="0"/>
        <c:axPos val="l"/>
        <c:majorGridlines/>
        <c:title>
          <c:tx>
            <c:rich>
              <a:bodyPr rot="0" spcFirstLastPara="0" vertOverflow="ellipsis" vert="horz" wrap="square" anchor="ctr" anchorCtr="1"/>
              <a:lstStyle/>
              <a:p>
                <a:pPr>
                  <a:defRPr lang="id-ID" sz="1000" b="1" i="0" u="none" strike="noStrike" kern="1200" baseline="0">
                    <a:solidFill>
                      <a:schemeClr val="tx1"/>
                    </a:solidFill>
                    <a:latin typeface="+mn-lt"/>
                    <a:ea typeface="+mn-ea"/>
                    <a:cs typeface="+mn-cs"/>
                  </a:defRPr>
                </a:pPr>
                <a:r>
                  <a:rPr lang="id-ID" sz="900"/>
                  <a:t>% Target</a:t>
                </a:r>
                <a:endParaRPr lang="id-ID" sz="900" baseline="0"/>
              </a:p>
            </c:rich>
          </c:tx>
          <c:layout>
            <c:manualLayout>
              <c:xMode val="edge"/>
              <c:yMode val="edge"/>
              <c:x val="0.0152361604875571"/>
              <c:y val="0.327328065872702"/>
            </c:manualLayout>
          </c:layout>
          <c:overlay val="0"/>
        </c:title>
        <c:numFmt formatCode="0%" sourceLinked="1"/>
        <c:majorTickMark val="none"/>
        <c:minorTickMark val="none"/>
        <c:tickLblPos val="nextTo"/>
        <c:txPr>
          <a:bodyPr rot="-60000000" spcFirstLastPara="0" vertOverflow="ellipsis" vert="horz" wrap="square" anchor="ctr" anchorCtr="1"/>
          <a:lstStyle/>
          <a:p>
            <a:pPr>
              <a:defRPr lang="id-ID" sz="1000" b="0" i="0" u="none" strike="noStrike" kern="1200" baseline="0">
                <a:solidFill>
                  <a:schemeClr val="tx1"/>
                </a:solidFill>
                <a:latin typeface="+mn-lt"/>
                <a:ea typeface="+mn-ea"/>
                <a:cs typeface="+mn-cs"/>
              </a:defRPr>
            </a:pPr>
          </a:p>
        </c:txPr>
        <c:crossAx val="102029568"/>
        <c:crosses val="autoZero"/>
        <c:crossBetween val="between"/>
      </c:valAx>
      <c:dTable>
        <c:showHorzBorder val="1"/>
        <c:showVertBorder val="1"/>
        <c:showOutline val="1"/>
        <c:showKeys val="1"/>
        <c:txPr>
          <a:bodyPr rot="0" spcFirstLastPara="0" vertOverflow="ellipsis" vert="horz" wrap="square" anchor="ctr" anchorCtr="1"/>
          <a:lstStyle/>
          <a:p>
            <a:pPr>
              <a:defRPr lang="id-ID" sz="1000" b="0" i="0" u="none" strike="noStrike" kern="1200" baseline="0">
                <a:solidFill>
                  <a:schemeClr val="tx1"/>
                </a:solidFill>
                <a:latin typeface="+mn-lt"/>
                <a:ea typeface="+mn-ea"/>
                <a:cs typeface="+mn-cs"/>
              </a:defRPr>
            </a:pPr>
          </a:p>
        </c:txPr>
      </c:dTable>
    </c:plotArea>
    <c:plotVisOnly val="1"/>
    <c:dispBlanksAs val="zero"/>
    <c:showDLblsOverMax val="0"/>
  </c:chart>
  <c:txPr>
    <a:bodyPr/>
    <a:lstStyle/>
    <a:p>
      <a:pPr>
        <a:defRPr lang="id-ID"/>
      </a:pP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0444444444444445"/>
          <c:y val="0.0370370370370371"/>
          <c:w val="0.775223534558199"/>
          <c:h val="0.96296296296295"/>
        </c:manualLayout>
      </c:layout>
      <c:pieChart>
        <c:varyColors val="1"/>
        <c:ser>
          <c:idx val="0"/>
          <c:order val="0"/>
          <c:spPr/>
          <c:explosion val="25"/>
          <c:dPt>
            <c:idx val="0"/>
            <c:bubble3D val="0"/>
            <c:spPr>
              <a:solidFill>
                <a:schemeClr val="accent1"/>
              </a:solidFill>
              <a:ln w="19050">
                <a:solidFill>
                  <a:schemeClr val="lt1"/>
                </a:solidFill>
              </a:ln>
              <a:effectLst/>
            </c:spPr>
          </c:dPt>
          <c:dPt>
            <c:idx val="1"/>
            <c:bubble3D val="0"/>
            <c:spPr>
              <a:solidFill>
                <a:schemeClr val="accent2"/>
              </a:solidFill>
              <a:ln w="19050">
                <a:solidFill>
                  <a:schemeClr val="lt1"/>
                </a:solidFill>
              </a:ln>
              <a:effectLst/>
            </c:spPr>
          </c:dPt>
          <c:dPt>
            <c:idx val="2"/>
            <c:bubble3D val="0"/>
            <c:spPr>
              <a:solidFill>
                <a:schemeClr val="accent3"/>
              </a:solidFill>
              <a:ln w="19050">
                <a:solidFill>
                  <a:schemeClr val="lt1"/>
                </a:solidFill>
              </a:ln>
              <a:effectLst/>
            </c:spPr>
          </c:dPt>
          <c:dPt>
            <c:idx val="3"/>
            <c:bubble3D val="0"/>
            <c:spPr>
              <a:solidFill>
                <a:schemeClr val="accent4"/>
              </a:solidFill>
              <a:ln w="19050">
                <a:solidFill>
                  <a:schemeClr val="lt1"/>
                </a:solidFill>
              </a:ln>
              <a:effectLst/>
            </c:spPr>
          </c:dPt>
          <c:dPt>
            <c:idx val="4"/>
            <c:bubble3D val="0"/>
            <c:spPr>
              <a:solidFill>
                <a:schemeClr val="accent5"/>
              </a:solidFill>
              <a:ln w="19050">
                <a:solidFill>
                  <a:schemeClr val="lt1"/>
                </a:solidFill>
              </a:ln>
              <a:effectLst/>
            </c:spPr>
          </c:dPt>
          <c:dLbls>
            <c:dLbl>
              <c:idx val="0"/>
              <c:delete val="1"/>
            </c:dLbl>
            <c:dLbl>
              <c:idx val="1"/>
              <c:layout/>
              <c:tx>
                <c:rich>
                  <a:bodyPr rot="0" spcFirstLastPara="0" vertOverflow="ellipsis" vert="horz" wrap="square" lIns="38100" tIns="19050" rIns="38100" bIns="19050" anchor="ctr" anchorCtr="1"/>
                  <a:lstStyle/>
                  <a:p>
                    <a:pPr>
                      <a:defRPr lang="id-ID" sz="900" b="0" i="0" u="none" strike="noStrike" kern="1200" baseline="0">
                        <a:solidFill>
                          <a:schemeClr val="tx1">
                            <a:lumMod val="75000"/>
                            <a:lumOff val="25000"/>
                          </a:schemeClr>
                        </a:solidFill>
                        <a:latin typeface="+mn-lt"/>
                        <a:ea typeface="+mn-ea"/>
                        <a:cs typeface="+mn-cs"/>
                      </a:defRPr>
                    </a:pPr>
                    <a:r>
                      <a:t>- Golongan II
16,98%</a:t>
                    </a:r>
                  </a:p>
                </c:rich>
              </c:tx>
              <c:dLblPos val="bestFit"/>
              <c:showLegendKey val="0"/>
              <c:showVal val="0"/>
              <c:showCatName val="1"/>
              <c:showSerName val="0"/>
              <c:showPercent val="1"/>
              <c:showBubbleSize val="0"/>
              <c:separator>
</c:separator>
              <c:extLst>
                <c:ext xmlns:c15="http://schemas.microsoft.com/office/drawing/2012/chart" uri="{CE6537A1-D6FC-4f65-9D91-7224C49458BB}"/>
              </c:extLst>
            </c:dLbl>
            <c:dLbl>
              <c:idx val="2"/>
              <c:layout>
                <c:manualLayout>
                  <c:x val="0.201378523336757"/>
                  <c:y val="-0.0922727272727273"/>
                </c:manualLayout>
              </c:layout>
              <c:tx>
                <c:rich>
                  <a:bodyPr rot="0" spcFirstLastPara="0" vertOverflow="ellipsis" vert="horz" wrap="square" lIns="38100" tIns="19050" rIns="38100" bIns="19050" anchor="ctr" anchorCtr="1"/>
                  <a:lstStyle/>
                  <a:p>
                    <a:pPr defTabSz="914400">
                      <a:defRPr lang="id-ID" sz="900" b="0" i="0" u="none" strike="noStrike" kern="1200" baseline="0">
                        <a:solidFill>
                          <a:schemeClr val="tx1">
                            <a:lumMod val="75000"/>
                            <a:lumOff val="25000"/>
                          </a:schemeClr>
                        </a:solidFill>
                        <a:latin typeface="+mn-lt"/>
                        <a:ea typeface="+mn-ea"/>
                        <a:cs typeface="+mn-cs"/>
                      </a:defRPr>
                    </a:pPr>
                    <a:r>
                      <a:t>- Golongan III71,69%</a:t>
                    </a:r>
                  </a:p>
                </c:rich>
              </c:tx>
              <c:dLblPos val="bestFit"/>
              <c:showLegendKey val="0"/>
              <c:showVal val="0"/>
              <c:showCatName val="1"/>
              <c:showSerName val="0"/>
              <c:showPercent val="1"/>
              <c:showBubbleSize val="0"/>
              <c:separator>
</c:separator>
              <c:extLst>
                <c:ext xmlns:c15="http://schemas.microsoft.com/office/drawing/2012/chart" uri="{CE6537A1-D6FC-4f65-9D91-7224C49458BB}">
                  <c15:layout/>
                </c:ext>
              </c:extLst>
            </c:dLbl>
            <c:dLbl>
              <c:idx val="3"/>
              <c:layout/>
              <c:tx>
                <c:rich>
                  <a:bodyPr rot="0" spcFirstLastPara="0" vertOverflow="ellipsis" vert="horz" wrap="square" lIns="38100" tIns="19050" rIns="38100" bIns="19050" anchor="ctr" anchorCtr="1"/>
                  <a:lstStyle/>
                  <a:p>
                    <a:pPr>
                      <a:defRPr lang="id-ID" sz="900" b="0" i="0" u="none" strike="noStrike" kern="1200" baseline="0">
                        <a:solidFill>
                          <a:schemeClr val="tx1">
                            <a:lumMod val="75000"/>
                            <a:lumOff val="25000"/>
                          </a:schemeClr>
                        </a:solidFill>
                        <a:latin typeface="+mn-lt"/>
                        <a:ea typeface="+mn-ea"/>
                        <a:cs typeface="+mn-cs"/>
                      </a:defRPr>
                    </a:pPr>
                    <a:r>
                      <a:t>-Golongan IV
11,32%</a:t>
                    </a:r>
                  </a:p>
                </c:rich>
              </c:tx>
              <c:dLblPos val="bestFit"/>
              <c:showLegendKey val="0"/>
              <c:showVal val="0"/>
              <c:showCatName val="1"/>
              <c:showSerName val="0"/>
              <c:showPercent val="1"/>
              <c:showBubbleSize val="0"/>
              <c:separator>
</c:separator>
              <c:extLst>
                <c:ext xmlns:c15="http://schemas.microsoft.com/office/drawing/2012/chart" uri="{CE6537A1-D6FC-4f65-9D91-7224C49458BB}"/>
              </c:extLst>
            </c:dLbl>
            <c:dLbl>
              <c:idx val="4"/>
              <c:delete val="1"/>
            </c:dLbl>
            <c:spPr>
              <a:noFill/>
              <a:ln>
                <a:noFill/>
              </a:ln>
              <a:effectLst/>
            </c:spPr>
            <c:txPr>
              <a:bodyPr rot="0" spcFirstLastPara="0" vertOverflow="ellipsis" vert="horz" wrap="square" lIns="38100" tIns="19050" rIns="38100" bIns="19050" anchor="ctr" anchorCtr="1"/>
              <a:lstStyle/>
              <a:p>
                <a:pPr>
                  <a:defRPr lang="id-ID" sz="900" b="0" i="0" u="none" strike="noStrike" kern="1200" baseline="0">
                    <a:solidFill>
                      <a:schemeClr val="tx1">
                        <a:lumMod val="75000"/>
                        <a:lumOff val="25000"/>
                      </a:schemeClr>
                    </a:solidFill>
                    <a:latin typeface="+mn-lt"/>
                    <a:ea typeface="+mn-ea"/>
                    <a:cs typeface="+mn-cs"/>
                  </a:defRPr>
                </a:pPr>
              </a:p>
            </c:txPr>
            <c:dLblPos val="bestFit"/>
            <c:showLegendKey val="0"/>
            <c:showVal val="0"/>
            <c:showCatName val="1"/>
            <c:showSerName val="0"/>
            <c:showPercent val="1"/>
            <c:showBubbleSize val="0"/>
            <c:showLeaderLines val="0"/>
            <c:extLst>
              <c:ext xmlns:c15="http://schemas.microsoft.com/office/drawing/2012/chart" uri="{CE6537A1-D6FC-4f65-9D91-7224C49458BB}">
                <c15:layout/>
                <c15:showLeaderLines val="0"/>
                <c15:leaderLines>
                  <c:spPr>
                    <a:ln w="9525" cap="flat" cmpd="sng" algn="ctr">
                      <a:solidFill>
                        <a:schemeClr val="tx1">
                          <a:lumMod val="35000"/>
                          <a:lumOff val="65000"/>
                        </a:schemeClr>
                      </a:solidFill>
                      <a:round/>
                    </a:ln>
                    <a:effectLst/>
                  </c:spPr>
                </c15:leaderLines>
              </c:ext>
            </c:extLst>
          </c:dLbls>
          <c:cat>
            <c:numRef>
              <c:f>Sheet1!$B$21:$B$25</c:f>
              <c:numCache>
                <c:ptCount val="0"/>
              </c:numCache>
            </c:numRef>
          </c:cat>
          <c:val>
            <c:numRef>
              <c:f>Sheet1!$C$21:$C$25</c:f>
              <c:numCache>
                <c:formatCode>General</c:formatCode>
                <c:ptCount val="5"/>
                <c:pt idx="0">
                  <c:v>2</c:v>
                </c:pt>
                <c:pt idx="1">
                  <c:v>37</c:v>
                </c:pt>
                <c:pt idx="2">
                  <c:v>66</c:v>
                </c:pt>
                <c:pt idx="3">
                  <c:v>18</c:v>
                </c:pt>
              </c:numCache>
            </c:numRef>
          </c:val>
        </c:ser>
        <c:dLbls>
          <c:showLegendKey val="0"/>
          <c:showVal val="0"/>
          <c:showCatName val="0"/>
          <c:showSerName val="0"/>
          <c:showPercent val="0"/>
          <c:showBubbleSize val="0"/>
          <c:showLeaderLines val="0"/>
        </c:dLbls>
        <c:firstSliceAng val="0"/>
      </c:pieChart>
      <c:spPr>
        <a:noFill/>
        <a:ln>
          <a:noFill/>
        </a:ln>
        <a:effectLst/>
      </c:spPr>
    </c:plotArea>
    <c:legend>
      <c:legendPos val="b"/>
      <c:layout/>
      <c:overlay val="0"/>
      <c:spPr>
        <a:noFill/>
        <a:ln>
          <a:noFill/>
        </a:ln>
        <a:effectLst/>
      </c:spPr>
      <c:txPr>
        <a:bodyPr rot="0" spcFirstLastPara="0" vertOverflow="ellipsis" vert="horz" wrap="square" anchor="ctr" anchorCtr="1"/>
        <a:lstStyle/>
        <a:p>
          <a:pPr>
            <a:defRPr lang="id-ID" sz="900" b="0" i="0" u="none" strike="noStrike" kern="1200" baseline="0">
              <a:solidFill>
                <a:schemeClr val="tx1">
                  <a:lumMod val="65000"/>
                  <a:lumOff val="35000"/>
                </a:schemeClr>
              </a:solidFill>
              <a:latin typeface="+mn-lt"/>
              <a:ea typeface="+mn-ea"/>
              <a:cs typeface="+mn-cs"/>
            </a:defRPr>
          </a:pPr>
        </a:p>
      </c:txPr>
    </c:legend>
    <c:plotVisOnly val="1"/>
    <c:dispBlanksAs val="zero"/>
    <c:showDLblsOverMax val="0"/>
  </c:chart>
  <c:spPr>
    <a:solidFill>
      <a:schemeClr val="bg1"/>
    </a:solidFill>
    <a:ln w="9525" cap="flat" cmpd="sng" algn="ctr">
      <a:solidFill>
        <a:schemeClr val="tx1">
          <a:lumMod val="15000"/>
          <a:lumOff val="85000"/>
        </a:schemeClr>
      </a:solidFill>
      <a:round/>
    </a:ln>
    <a:effectLst/>
  </c:spPr>
  <c:txPr>
    <a:bodyPr/>
    <a:lstStyle/>
    <a:p>
      <a:pPr>
        <a:defRPr lang="id-ID"/>
      </a:pPr>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Sheet1!$B$1</c:f>
              <c:strCache>
                <c:ptCount val="1"/>
                <c:pt idx="0">
                  <c:v>Target</c:v>
                </c:pt>
              </c:strCache>
            </c:strRef>
          </c:tx>
          <c:invertIfNegative val="0"/>
          <c:dLbls>
            <c:delete val="1"/>
          </c:dLbls>
          <c:cat>
            <c:numRef>
              <c:f>Sheet1!$A$2:$A$4</c:f>
              <c:numCache>
                <c:formatCode>General</c:formatCode>
                <c:ptCount val="3"/>
                <c:pt idx="0">
                  <c:v>2013</c:v>
                </c:pt>
                <c:pt idx="1">
                  <c:v>2014</c:v>
                </c:pt>
                <c:pt idx="2">
                  <c:v>2015</c:v>
                </c:pt>
              </c:numCache>
            </c:numRef>
          </c:cat>
          <c:val>
            <c:numRef>
              <c:f>Sheet1!$B$2:$B$4</c:f>
              <c:numCache>
                <c:formatCode>0%</c:formatCode>
                <c:ptCount val="3"/>
                <c:pt idx="0">
                  <c:v>1</c:v>
                </c:pt>
                <c:pt idx="1">
                  <c:v>1</c:v>
                </c:pt>
                <c:pt idx="2">
                  <c:v>1</c:v>
                </c:pt>
              </c:numCache>
            </c:numRef>
          </c:val>
        </c:ser>
        <c:ser>
          <c:idx val="1"/>
          <c:order val="1"/>
          <c:tx>
            <c:strRef>
              <c:f>Sheet1!$C$1</c:f>
              <c:strCache>
                <c:ptCount val="1"/>
                <c:pt idx="0">
                  <c:v>Realisasi</c:v>
                </c:pt>
              </c:strCache>
            </c:strRef>
          </c:tx>
          <c:invertIfNegative val="0"/>
          <c:dLbls>
            <c:delete val="1"/>
          </c:dLbls>
          <c:cat>
            <c:numRef>
              <c:f>Sheet1!$A$2:$A$4</c:f>
              <c:numCache>
                <c:formatCode>General</c:formatCode>
                <c:ptCount val="3"/>
                <c:pt idx="0">
                  <c:v>2013</c:v>
                </c:pt>
                <c:pt idx="1">
                  <c:v>2014</c:v>
                </c:pt>
                <c:pt idx="2">
                  <c:v>2015</c:v>
                </c:pt>
              </c:numCache>
            </c:numRef>
          </c:cat>
          <c:val>
            <c:numRef>
              <c:f>Sheet1!$C$2:$C$4</c:f>
              <c:numCache>
                <c:formatCode>0%</c:formatCode>
                <c:ptCount val="3"/>
                <c:pt idx="0">
                  <c:v>1</c:v>
                </c:pt>
                <c:pt idx="1">
                  <c:v>1</c:v>
                </c:pt>
                <c:pt idx="2">
                  <c:v>1</c:v>
                </c:pt>
              </c:numCache>
            </c:numRef>
          </c:val>
        </c:ser>
        <c:dLbls>
          <c:showLegendKey val="0"/>
          <c:showVal val="0"/>
          <c:showCatName val="0"/>
          <c:showSerName val="0"/>
          <c:showPercent val="0"/>
          <c:showBubbleSize val="0"/>
        </c:dLbls>
        <c:gapWidth val="150"/>
        <c:axId val="105814272"/>
        <c:axId val="105824256"/>
      </c:barChart>
      <c:catAx>
        <c:axId val="105814272"/>
        <c:scaling>
          <c:orientation val="minMax"/>
        </c:scaling>
        <c:delete val="0"/>
        <c:axPos val="b"/>
        <c:numFmt formatCode="General" sourceLinked="1"/>
        <c:majorTickMark val="none"/>
        <c:minorTickMark val="none"/>
        <c:tickLblPos val="nextTo"/>
        <c:txPr>
          <a:bodyPr rot="-60000000" spcFirstLastPara="0" vertOverflow="ellipsis" vert="horz" wrap="square" anchor="ctr" anchorCtr="1"/>
          <a:lstStyle/>
          <a:p>
            <a:pPr>
              <a:defRPr lang="id-ID" sz="1000" b="0" i="0" u="none" strike="noStrike" kern="1200" baseline="0">
                <a:solidFill>
                  <a:schemeClr val="tx1"/>
                </a:solidFill>
                <a:latin typeface="+mn-lt"/>
                <a:ea typeface="+mn-ea"/>
                <a:cs typeface="+mn-cs"/>
              </a:defRPr>
            </a:pPr>
          </a:p>
        </c:txPr>
        <c:crossAx val="105824256"/>
        <c:crosses val="autoZero"/>
        <c:auto val="0"/>
        <c:lblAlgn val="ctr"/>
        <c:lblOffset val="100"/>
        <c:noMultiLvlLbl val="0"/>
      </c:catAx>
      <c:valAx>
        <c:axId val="105824256"/>
        <c:scaling>
          <c:orientation val="minMax"/>
        </c:scaling>
        <c:delete val="0"/>
        <c:axPos val="l"/>
        <c:majorGridlines/>
        <c:title>
          <c:tx>
            <c:rich>
              <a:bodyPr rot="0" spcFirstLastPara="0" vertOverflow="ellipsis" vert="horz" wrap="square" anchor="ctr" anchorCtr="1"/>
              <a:lstStyle/>
              <a:p>
                <a:pPr>
                  <a:defRPr lang="id-ID" sz="1000" b="1" i="0" u="none" strike="noStrike" kern="1200" baseline="0">
                    <a:solidFill>
                      <a:schemeClr val="tx1"/>
                    </a:solidFill>
                    <a:latin typeface="+mn-lt"/>
                    <a:ea typeface="+mn-ea"/>
                    <a:cs typeface="+mn-cs"/>
                  </a:defRPr>
                </a:pPr>
                <a:r>
                  <a:rPr lang="id-ID"/>
                  <a:t>%</a:t>
                </a:r>
                <a:r>
                  <a:rPr lang="id-ID" baseline="0"/>
                  <a:t> Target dan Capaian</a:t>
                </a:r>
                <a:endParaRPr lang="id-ID"/>
              </a:p>
            </c:rich>
          </c:tx>
          <c:layout/>
          <c:overlay val="0"/>
        </c:title>
        <c:numFmt formatCode="0%" sourceLinked="1"/>
        <c:majorTickMark val="none"/>
        <c:minorTickMark val="none"/>
        <c:tickLblPos val="nextTo"/>
        <c:txPr>
          <a:bodyPr rot="-60000000" spcFirstLastPara="0" vertOverflow="ellipsis" vert="horz" wrap="square" anchor="ctr" anchorCtr="1"/>
          <a:lstStyle/>
          <a:p>
            <a:pPr>
              <a:defRPr lang="id-ID" sz="1000" b="0" i="0" u="none" strike="noStrike" kern="1200" baseline="0">
                <a:solidFill>
                  <a:schemeClr val="tx1"/>
                </a:solidFill>
                <a:latin typeface="+mn-lt"/>
                <a:ea typeface="+mn-ea"/>
                <a:cs typeface="+mn-cs"/>
              </a:defRPr>
            </a:pPr>
          </a:p>
        </c:txPr>
        <c:crossAx val="105814272"/>
        <c:crosses val="autoZero"/>
        <c:crossBetween val="between"/>
      </c:valAx>
      <c:dTable>
        <c:showHorzBorder val="1"/>
        <c:showVertBorder val="1"/>
        <c:showOutline val="1"/>
        <c:showKeys val="1"/>
        <c:txPr>
          <a:bodyPr rot="0" spcFirstLastPara="0" vertOverflow="ellipsis" vert="horz" wrap="square" anchor="ctr" anchorCtr="1"/>
          <a:lstStyle/>
          <a:p>
            <a:pPr>
              <a:defRPr lang="id-ID" sz="1000" b="0" i="0" u="none" strike="noStrike" kern="1200" baseline="0">
                <a:solidFill>
                  <a:schemeClr val="tx1"/>
                </a:solidFill>
                <a:latin typeface="+mn-lt"/>
                <a:ea typeface="+mn-ea"/>
                <a:cs typeface="+mn-cs"/>
              </a:defRPr>
            </a:pPr>
          </a:p>
        </c:txPr>
      </c:dTable>
    </c:plotArea>
    <c:plotVisOnly val="1"/>
    <c:dispBlanksAs val="zero"/>
    <c:showDLblsOverMax val="0"/>
  </c:chart>
  <c:txPr>
    <a:bodyPr/>
    <a:lstStyle/>
    <a:p>
      <a:pPr>
        <a:defRPr lang="id-ID"/>
      </a:pPr>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Sheet1!$B$1</c:f>
              <c:strCache>
                <c:ptCount val="1"/>
                <c:pt idx="0">
                  <c:v>Target</c:v>
                </c:pt>
              </c:strCache>
            </c:strRef>
          </c:tx>
          <c:invertIfNegative val="0"/>
          <c:dLbls>
            <c:delete val="1"/>
          </c:dLbls>
          <c:cat>
            <c:numRef>
              <c:f>Sheet1!$A$2:$A$4</c:f>
              <c:numCache>
                <c:formatCode>General</c:formatCode>
                <c:ptCount val="3"/>
                <c:pt idx="0">
                  <c:v>2013</c:v>
                </c:pt>
                <c:pt idx="1">
                  <c:v>2014</c:v>
                </c:pt>
                <c:pt idx="2">
                  <c:v>2015</c:v>
                </c:pt>
              </c:numCache>
            </c:numRef>
          </c:cat>
          <c:val>
            <c:numRef>
              <c:f>Sheet1!$B$2:$B$4</c:f>
              <c:numCache>
                <c:formatCode>0%</c:formatCode>
                <c:ptCount val="3"/>
                <c:pt idx="0">
                  <c:v>1</c:v>
                </c:pt>
                <c:pt idx="1">
                  <c:v>1</c:v>
                </c:pt>
                <c:pt idx="2">
                  <c:v>1</c:v>
                </c:pt>
              </c:numCache>
            </c:numRef>
          </c:val>
        </c:ser>
        <c:ser>
          <c:idx val="1"/>
          <c:order val="1"/>
          <c:tx>
            <c:strRef>
              <c:f>Sheet1!$C$1</c:f>
              <c:strCache>
                <c:ptCount val="1"/>
                <c:pt idx="0">
                  <c:v>Realisasi</c:v>
                </c:pt>
              </c:strCache>
            </c:strRef>
          </c:tx>
          <c:invertIfNegative val="0"/>
          <c:dLbls>
            <c:delete val="1"/>
          </c:dLbls>
          <c:cat>
            <c:numRef>
              <c:f>Sheet1!$A$2:$A$4</c:f>
              <c:numCache>
                <c:formatCode>General</c:formatCode>
                <c:ptCount val="3"/>
                <c:pt idx="0">
                  <c:v>2013</c:v>
                </c:pt>
                <c:pt idx="1">
                  <c:v>2014</c:v>
                </c:pt>
                <c:pt idx="2">
                  <c:v>2015</c:v>
                </c:pt>
              </c:numCache>
            </c:numRef>
          </c:cat>
          <c:val>
            <c:numRef>
              <c:f>Sheet1!$C$2:$C$4</c:f>
              <c:numCache>
                <c:formatCode>0%</c:formatCode>
                <c:ptCount val="3"/>
                <c:pt idx="0">
                  <c:v>1</c:v>
                </c:pt>
                <c:pt idx="1">
                  <c:v>1</c:v>
                </c:pt>
                <c:pt idx="2">
                  <c:v>1</c:v>
                </c:pt>
              </c:numCache>
            </c:numRef>
          </c:val>
        </c:ser>
        <c:dLbls>
          <c:showLegendKey val="0"/>
          <c:showVal val="0"/>
          <c:showCatName val="0"/>
          <c:showSerName val="0"/>
          <c:showPercent val="0"/>
          <c:showBubbleSize val="0"/>
        </c:dLbls>
        <c:gapWidth val="150"/>
        <c:axId val="105838080"/>
        <c:axId val="105839616"/>
      </c:barChart>
      <c:catAx>
        <c:axId val="105838080"/>
        <c:scaling>
          <c:orientation val="minMax"/>
        </c:scaling>
        <c:delete val="0"/>
        <c:axPos val="b"/>
        <c:numFmt formatCode="General" sourceLinked="1"/>
        <c:majorTickMark val="none"/>
        <c:minorTickMark val="none"/>
        <c:tickLblPos val="nextTo"/>
        <c:txPr>
          <a:bodyPr rot="-60000000" spcFirstLastPara="0" vertOverflow="ellipsis" vert="horz" wrap="square" anchor="ctr" anchorCtr="1"/>
          <a:lstStyle/>
          <a:p>
            <a:pPr>
              <a:defRPr lang="id-ID" sz="1000" b="0" i="0" u="none" strike="noStrike" kern="1200" baseline="0">
                <a:solidFill>
                  <a:schemeClr val="tx1"/>
                </a:solidFill>
                <a:latin typeface="+mn-lt"/>
                <a:ea typeface="+mn-ea"/>
                <a:cs typeface="+mn-cs"/>
              </a:defRPr>
            </a:pPr>
          </a:p>
        </c:txPr>
        <c:crossAx val="105839616"/>
        <c:crosses val="autoZero"/>
        <c:auto val="0"/>
        <c:lblAlgn val="ctr"/>
        <c:lblOffset val="100"/>
        <c:noMultiLvlLbl val="0"/>
      </c:catAx>
      <c:valAx>
        <c:axId val="105839616"/>
        <c:scaling>
          <c:orientation val="minMax"/>
        </c:scaling>
        <c:delete val="0"/>
        <c:axPos val="l"/>
        <c:majorGridlines/>
        <c:title>
          <c:tx>
            <c:rich>
              <a:bodyPr rot="0" spcFirstLastPara="0" vertOverflow="ellipsis" vert="horz" wrap="square" anchor="ctr" anchorCtr="1"/>
              <a:lstStyle/>
              <a:p>
                <a:pPr>
                  <a:defRPr lang="id-ID" sz="1000" b="1" i="0" u="none" strike="noStrike" kern="1200" baseline="0">
                    <a:solidFill>
                      <a:schemeClr val="tx1"/>
                    </a:solidFill>
                    <a:latin typeface="+mn-lt"/>
                    <a:ea typeface="+mn-ea"/>
                    <a:cs typeface="+mn-cs"/>
                  </a:defRPr>
                </a:pPr>
                <a:r>
                  <a:rPr lang="id-ID"/>
                  <a:t>%</a:t>
                </a:r>
                <a:r>
                  <a:rPr lang="id-ID" baseline="0"/>
                  <a:t> Target dan Capaian</a:t>
                </a:r>
                <a:endParaRPr lang="id-ID"/>
              </a:p>
            </c:rich>
          </c:tx>
          <c:layout/>
          <c:overlay val="0"/>
        </c:title>
        <c:numFmt formatCode="0%" sourceLinked="1"/>
        <c:majorTickMark val="none"/>
        <c:minorTickMark val="none"/>
        <c:tickLblPos val="nextTo"/>
        <c:txPr>
          <a:bodyPr rot="-60000000" spcFirstLastPara="0" vertOverflow="ellipsis" vert="horz" wrap="square" anchor="ctr" anchorCtr="1"/>
          <a:lstStyle/>
          <a:p>
            <a:pPr>
              <a:defRPr lang="id-ID" sz="1000" b="0" i="0" u="none" strike="noStrike" kern="1200" baseline="0">
                <a:solidFill>
                  <a:schemeClr val="tx1"/>
                </a:solidFill>
                <a:latin typeface="+mn-lt"/>
                <a:ea typeface="+mn-ea"/>
                <a:cs typeface="+mn-cs"/>
              </a:defRPr>
            </a:pPr>
          </a:p>
        </c:txPr>
        <c:crossAx val="105838080"/>
        <c:crosses val="autoZero"/>
        <c:crossBetween val="between"/>
      </c:valAx>
      <c:dTable>
        <c:showHorzBorder val="1"/>
        <c:showVertBorder val="1"/>
        <c:showOutline val="1"/>
        <c:showKeys val="1"/>
        <c:txPr>
          <a:bodyPr rot="0" spcFirstLastPara="0" vertOverflow="ellipsis" vert="horz" wrap="square" anchor="ctr" anchorCtr="1"/>
          <a:lstStyle/>
          <a:p>
            <a:pPr>
              <a:defRPr lang="id-ID" sz="1000" b="0" i="0" u="none" strike="noStrike" kern="1200" baseline="0">
                <a:solidFill>
                  <a:schemeClr val="tx1"/>
                </a:solidFill>
                <a:latin typeface="+mn-lt"/>
                <a:ea typeface="+mn-ea"/>
                <a:cs typeface="+mn-cs"/>
              </a:defRPr>
            </a:pPr>
          </a:p>
        </c:txPr>
      </c:dTable>
    </c:plotArea>
    <c:plotVisOnly val="1"/>
    <c:dispBlanksAs val="zero"/>
    <c:showDLblsOverMax val="0"/>
  </c:chart>
  <c:txPr>
    <a:bodyPr/>
    <a:lstStyle/>
    <a:p>
      <a:pPr>
        <a:defRPr lang="id-ID"/>
      </a:pPr>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Sheet1!$B$1</c:f>
              <c:strCache>
                <c:ptCount val="1"/>
                <c:pt idx="0">
                  <c:v>Target</c:v>
                </c:pt>
              </c:strCache>
            </c:strRef>
          </c:tx>
          <c:invertIfNegative val="0"/>
          <c:dLbls>
            <c:delete val="1"/>
          </c:dLbls>
          <c:cat>
            <c:numRef>
              <c:f>Sheet1!$A$2:$A$4</c:f>
              <c:numCache>
                <c:formatCode>General</c:formatCode>
                <c:ptCount val="3"/>
                <c:pt idx="0">
                  <c:v>2013</c:v>
                </c:pt>
                <c:pt idx="1">
                  <c:v>2014</c:v>
                </c:pt>
                <c:pt idx="2">
                  <c:v>2015</c:v>
                </c:pt>
              </c:numCache>
            </c:numRef>
          </c:cat>
          <c:val>
            <c:numRef>
              <c:f>Sheet1!$B$2:$B$4</c:f>
              <c:numCache>
                <c:formatCode>0%</c:formatCode>
                <c:ptCount val="3"/>
                <c:pt idx="0">
                  <c:v>0.54</c:v>
                </c:pt>
                <c:pt idx="1">
                  <c:v>0.650000000000003</c:v>
                </c:pt>
                <c:pt idx="2">
                  <c:v>0.670000000000003</c:v>
                </c:pt>
              </c:numCache>
            </c:numRef>
          </c:val>
        </c:ser>
        <c:ser>
          <c:idx val="1"/>
          <c:order val="1"/>
          <c:tx>
            <c:strRef>
              <c:f>Sheet1!$C$1</c:f>
              <c:strCache>
                <c:ptCount val="1"/>
                <c:pt idx="0">
                  <c:v>Realisasi</c:v>
                </c:pt>
              </c:strCache>
            </c:strRef>
          </c:tx>
          <c:invertIfNegative val="0"/>
          <c:dLbls>
            <c:delete val="1"/>
          </c:dLbls>
          <c:cat>
            <c:numRef>
              <c:f>Sheet1!$A$2:$A$4</c:f>
              <c:numCache>
                <c:formatCode>General</c:formatCode>
                <c:ptCount val="3"/>
                <c:pt idx="0">
                  <c:v>2013</c:v>
                </c:pt>
                <c:pt idx="1">
                  <c:v>2014</c:v>
                </c:pt>
                <c:pt idx="2">
                  <c:v>2015</c:v>
                </c:pt>
              </c:numCache>
            </c:numRef>
          </c:cat>
          <c:val>
            <c:numRef>
              <c:f>Sheet1!$C$2:$C$4</c:f>
              <c:numCache>
                <c:formatCode>0%</c:formatCode>
                <c:ptCount val="3"/>
                <c:pt idx="0">
                  <c:v>0.54</c:v>
                </c:pt>
                <c:pt idx="1">
                  <c:v>0.59</c:v>
                </c:pt>
                <c:pt idx="2">
                  <c:v>0.600000000000001</c:v>
                </c:pt>
              </c:numCache>
            </c:numRef>
          </c:val>
        </c:ser>
        <c:dLbls>
          <c:showLegendKey val="0"/>
          <c:showVal val="0"/>
          <c:showCatName val="0"/>
          <c:showSerName val="0"/>
          <c:showPercent val="0"/>
          <c:showBubbleSize val="0"/>
        </c:dLbls>
        <c:gapWidth val="150"/>
        <c:axId val="105870080"/>
        <c:axId val="105871616"/>
      </c:barChart>
      <c:catAx>
        <c:axId val="105870080"/>
        <c:scaling>
          <c:orientation val="minMax"/>
        </c:scaling>
        <c:delete val="0"/>
        <c:axPos val="b"/>
        <c:numFmt formatCode="General" sourceLinked="1"/>
        <c:majorTickMark val="none"/>
        <c:minorTickMark val="none"/>
        <c:tickLblPos val="nextTo"/>
        <c:txPr>
          <a:bodyPr rot="-60000000" spcFirstLastPara="0" vertOverflow="ellipsis" vert="horz" wrap="square" anchor="ctr" anchorCtr="1"/>
          <a:lstStyle/>
          <a:p>
            <a:pPr>
              <a:defRPr lang="id-ID" sz="1000" b="0" i="0" u="none" strike="noStrike" kern="1200" baseline="0">
                <a:solidFill>
                  <a:schemeClr val="tx1"/>
                </a:solidFill>
                <a:latin typeface="+mn-lt"/>
                <a:ea typeface="+mn-ea"/>
                <a:cs typeface="+mn-cs"/>
              </a:defRPr>
            </a:pPr>
          </a:p>
        </c:txPr>
        <c:crossAx val="105871616"/>
        <c:crosses val="autoZero"/>
        <c:auto val="0"/>
        <c:lblAlgn val="ctr"/>
        <c:lblOffset val="100"/>
        <c:noMultiLvlLbl val="0"/>
      </c:catAx>
      <c:valAx>
        <c:axId val="105871616"/>
        <c:scaling>
          <c:orientation val="minMax"/>
        </c:scaling>
        <c:delete val="0"/>
        <c:axPos val="l"/>
        <c:majorGridlines/>
        <c:title>
          <c:tx>
            <c:rich>
              <a:bodyPr rot="0" spcFirstLastPara="0" vertOverflow="ellipsis" vert="horz" wrap="square" anchor="ctr" anchorCtr="1"/>
              <a:lstStyle/>
              <a:p>
                <a:pPr>
                  <a:defRPr lang="id-ID" sz="1000" b="1" i="0" u="none" strike="noStrike" kern="1200" baseline="0">
                    <a:solidFill>
                      <a:schemeClr val="tx1"/>
                    </a:solidFill>
                    <a:latin typeface="+mn-lt"/>
                    <a:ea typeface="+mn-ea"/>
                    <a:cs typeface="+mn-cs"/>
                  </a:defRPr>
                </a:pPr>
                <a:r>
                  <a:rPr lang="id-ID"/>
                  <a:t>%</a:t>
                </a:r>
                <a:r>
                  <a:rPr lang="id-ID" baseline="0"/>
                  <a:t> Target dan Capaian</a:t>
                </a:r>
                <a:endParaRPr lang="id-ID"/>
              </a:p>
            </c:rich>
          </c:tx>
          <c:layout/>
          <c:overlay val="0"/>
        </c:title>
        <c:numFmt formatCode="0%" sourceLinked="1"/>
        <c:majorTickMark val="none"/>
        <c:minorTickMark val="none"/>
        <c:tickLblPos val="nextTo"/>
        <c:txPr>
          <a:bodyPr rot="-60000000" spcFirstLastPara="0" vertOverflow="ellipsis" vert="horz" wrap="square" anchor="ctr" anchorCtr="1"/>
          <a:lstStyle/>
          <a:p>
            <a:pPr>
              <a:defRPr lang="id-ID" sz="1000" b="0" i="0" u="none" strike="noStrike" kern="1200" baseline="0">
                <a:solidFill>
                  <a:schemeClr val="tx1"/>
                </a:solidFill>
                <a:latin typeface="+mn-lt"/>
                <a:ea typeface="+mn-ea"/>
                <a:cs typeface="+mn-cs"/>
              </a:defRPr>
            </a:pPr>
          </a:p>
        </c:txPr>
        <c:crossAx val="105870080"/>
        <c:crosses val="autoZero"/>
        <c:crossBetween val="between"/>
      </c:valAx>
      <c:dTable>
        <c:showHorzBorder val="1"/>
        <c:showVertBorder val="1"/>
        <c:showOutline val="1"/>
        <c:showKeys val="1"/>
        <c:txPr>
          <a:bodyPr rot="0" spcFirstLastPara="0" vertOverflow="ellipsis" vert="horz" wrap="square" anchor="ctr" anchorCtr="1"/>
          <a:lstStyle/>
          <a:p>
            <a:pPr>
              <a:defRPr lang="id-ID" sz="1000" b="0" i="0" u="none" strike="noStrike" kern="1200" baseline="0">
                <a:solidFill>
                  <a:schemeClr val="tx1"/>
                </a:solidFill>
                <a:latin typeface="+mn-lt"/>
                <a:ea typeface="+mn-ea"/>
                <a:cs typeface="+mn-cs"/>
              </a:defRPr>
            </a:pPr>
          </a:p>
        </c:txPr>
      </c:dTable>
    </c:plotArea>
    <c:plotVisOnly val="1"/>
    <c:dispBlanksAs val="zero"/>
    <c:showDLblsOverMax val="0"/>
  </c:chart>
  <c:txPr>
    <a:bodyPr/>
    <a:lstStyle/>
    <a:p>
      <a:pPr>
        <a:defRPr lang="id-ID"/>
      </a:pPr>
    </a:p>
  </c:tx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Sheet1!$B$1</c:f>
              <c:strCache>
                <c:ptCount val="1"/>
                <c:pt idx="0">
                  <c:v>Target</c:v>
                </c:pt>
              </c:strCache>
            </c:strRef>
          </c:tx>
          <c:invertIfNegative val="0"/>
          <c:dLbls>
            <c:delete val="1"/>
          </c:dLbls>
          <c:cat>
            <c:numRef>
              <c:f>Sheet1!$A$2:$A$4</c:f>
              <c:numCache>
                <c:formatCode>General</c:formatCode>
                <c:ptCount val="3"/>
                <c:pt idx="0">
                  <c:v>2013</c:v>
                </c:pt>
                <c:pt idx="1">
                  <c:v>2014</c:v>
                </c:pt>
                <c:pt idx="2">
                  <c:v>2015</c:v>
                </c:pt>
              </c:numCache>
            </c:numRef>
          </c:cat>
          <c:val>
            <c:numRef>
              <c:f>Sheet1!$B$2:$B$4</c:f>
              <c:numCache>
                <c:formatCode>0.0%</c:formatCode>
                <c:ptCount val="3"/>
                <c:pt idx="0">
                  <c:v>0.584</c:v>
                </c:pt>
                <c:pt idx="1" c:formatCode="0%">
                  <c:v>0.730000000000001</c:v>
                </c:pt>
                <c:pt idx="2" c:formatCode="0%">
                  <c:v>0.750000000000002</c:v>
                </c:pt>
              </c:numCache>
            </c:numRef>
          </c:val>
        </c:ser>
        <c:ser>
          <c:idx val="1"/>
          <c:order val="1"/>
          <c:tx>
            <c:strRef>
              <c:f>Sheet1!$C$1</c:f>
              <c:strCache>
                <c:ptCount val="1"/>
                <c:pt idx="0">
                  <c:v>Realisasi</c:v>
                </c:pt>
              </c:strCache>
            </c:strRef>
          </c:tx>
          <c:invertIfNegative val="0"/>
          <c:dLbls>
            <c:delete val="1"/>
          </c:dLbls>
          <c:cat>
            <c:numRef>
              <c:f>Sheet1!$A$2:$A$4</c:f>
              <c:numCache>
                <c:formatCode>General</c:formatCode>
                <c:ptCount val="3"/>
                <c:pt idx="0">
                  <c:v>2013</c:v>
                </c:pt>
                <c:pt idx="1">
                  <c:v>2014</c:v>
                </c:pt>
                <c:pt idx="2">
                  <c:v>2015</c:v>
                </c:pt>
              </c:numCache>
            </c:numRef>
          </c:cat>
          <c:val>
            <c:numRef>
              <c:f>Sheet1!$C$2:$C$4</c:f>
              <c:numCache>
                <c:formatCode>0.00%</c:formatCode>
                <c:ptCount val="3"/>
                <c:pt idx="0">
                  <c:v>0.545700000000001</c:v>
                </c:pt>
                <c:pt idx="1" c:formatCode="0%">
                  <c:v>0.730000000000001</c:v>
                </c:pt>
                <c:pt idx="2" c:formatCode="0.0%">
                  <c:v>0.754000000000003</c:v>
                </c:pt>
              </c:numCache>
            </c:numRef>
          </c:val>
        </c:ser>
        <c:dLbls>
          <c:showLegendKey val="0"/>
          <c:showVal val="0"/>
          <c:showCatName val="0"/>
          <c:showSerName val="0"/>
          <c:showPercent val="0"/>
          <c:showBubbleSize val="0"/>
        </c:dLbls>
        <c:gapWidth val="150"/>
        <c:axId val="105889792"/>
        <c:axId val="105891328"/>
      </c:barChart>
      <c:catAx>
        <c:axId val="105889792"/>
        <c:scaling>
          <c:orientation val="minMax"/>
        </c:scaling>
        <c:delete val="0"/>
        <c:axPos val="b"/>
        <c:numFmt formatCode="General" sourceLinked="1"/>
        <c:majorTickMark val="none"/>
        <c:minorTickMark val="none"/>
        <c:tickLblPos val="nextTo"/>
        <c:txPr>
          <a:bodyPr rot="-60000000" spcFirstLastPara="0" vertOverflow="ellipsis" vert="horz" wrap="square" anchor="ctr" anchorCtr="1"/>
          <a:lstStyle/>
          <a:p>
            <a:pPr>
              <a:defRPr lang="id-ID" sz="1000" b="0" i="0" u="none" strike="noStrike" kern="1200" baseline="0">
                <a:solidFill>
                  <a:schemeClr val="tx1"/>
                </a:solidFill>
                <a:latin typeface="+mn-lt"/>
                <a:ea typeface="+mn-ea"/>
                <a:cs typeface="+mn-cs"/>
              </a:defRPr>
            </a:pPr>
          </a:p>
        </c:txPr>
        <c:crossAx val="105891328"/>
        <c:crosses val="autoZero"/>
        <c:auto val="0"/>
        <c:lblAlgn val="ctr"/>
        <c:lblOffset val="100"/>
        <c:noMultiLvlLbl val="0"/>
      </c:catAx>
      <c:valAx>
        <c:axId val="105891328"/>
        <c:scaling>
          <c:orientation val="minMax"/>
        </c:scaling>
        <c:delete val="0"/>
        <c:axPos val="l"/>
        <c:majorGridlines/>
        <c:title>
          <c:tx>
            <c:rich>
              <a:bodyPr rot="0" spcFirstLastPara="0" vertOverflow="ellipsis" vert="horz" wrap="square" anchor="ctr" anchorCtr="1"/>
              <a:lstStyle/>
              <a:p>
                <a:pPr>
                  <a:defRPr lang="id-ID" sz="1000" b="1" i="0" u="none" strike="noStrike" kern="1200" baseline="0">
                    <a:solidFill>
                      <a:schemeClr val="tx1"/>
                    </a:solidFill>
                    <a:latin typeface="+mn-lt"/>
                    <a:ea typeface="+mn-ea"/>
                    <a:cs typeface="+mn-cs"/>
                  </a:defRPr>
                </a:pPr>
                <a:r>
                  <a:rPr lang="id-ID"/>
                  <a:t>%</a:t>
                </a:r>
                <a:r>
                  <a:rPr lang="id-ID" baseline="0"/>
                  <a:t> Target dan Capaian</a:t>
                </a:r>
                <a:endParaRPr lang="id-ID"/>
              </a:p>
            </c:rich>
          </c:tx>
          <c:layout/>
          <c:overlay val="0"/>
        </c:title>
        <c:numFmt formatCode="0.0%" sourceLinked="1"/>
        <c:majorTickMark val="none"/>
        <c:minorTickMark val="none"/>
        <c:tickLblPos val="nextTo"/>
        <c:txPr>
          <a:bodyPr rot="-60000000" spcFirstLastPara="0" vertOverflow="ellipsis" vert="horz" wrap="square" anchor="ctr" anchorCtr="1"/>
          <a:lstStyle/>
          <a:p>
            <a:pPr>
              <a:defRPr lang="id-ID" sz="1000" b="0" i="0" u="none" strike="noStrike" kern="1200" baseline="0">
                <a:solidFill>
                  <a:schemeClr val="tx1"/>
                </a:solidFill>
                <a:latin typeface="+mn-lt"/>
                <a:ea typeface="+mn-ea"/>
                <a:cs typeface="+mn-cs"/>
              </a:defRPr>
            </a:pPr>
          </a:p>
        </c:txPr>
        <c:crossAx val="105889792"/>
        <c:crosses val="autoZero"/>
        <c:crossBetween val="between"/>
      </c:valAx>
      <c:dTable>
        <c:showHorzBorder val="1"/>
        <c:showVertBorder val="1"/>
        <c:showOutline val="1"/>
        <c:showKeys val="1"/>
        <c:txPr>
          <a:bodyPr rot="0" spcFirstLastPara="0" vertOverflow="ellipsis" vert="horz" wrap="square" anchor="ctr" anchorCtr="1"/>
          <a:lstStyle/>
          <a:p>
            <a:pPr>
              <a:defRPr lang="id-ID" sz="1000" b="0" i="0" u="none" strike="noStrike" kern="1200" baseline="0">
                <a:solidFill>
                  <a:schemeClr val="tx1"/>
                </a:solidFill>
                <a:latin typeface="+mn-lt"/>
                <a:ea typeface="+mn-ea"/>
                <a:cs typeface="+mn-cs"/>
              </a:defRPr>
            </a:pPr>
          </a:p>
        </c:txPr>
      </c:dTable>
    </c:plotArea>
    <c:plotVisOnly val="1"/>
    <c:dispBlanksAs val="zero"/>
    <c:showDLblsOverMax val="0"/>
  </c:chart>
  <c:txPr>
    <a:bodyPr/>
    <a:lstStyle/>
    <a:p>
      <a:pPr>
        <a:defRPr lang="id-ID"/>
      </a:pPr>
    </a:p>
  </c:txPr>
  <c:externalData r:id="rId1">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Sheet1!$B$1</c:f>
              <c:strCache>
                <c:ptCount val="1"/>
                <c:pt idx="0">
                  <c:v>Target</c:v>
                </c:pt>
              </c:strCache>
            </c:strRef>
          </c:tx>
          <c:invertIfNegative val="0"/>
          <c:dLbls>
            <c:delete val="1"/>
          </c:dLbls>
          <c:cat>
            <c:numRef>
              <c:f>Sheet1!$A$2:$A$4</c:f>
              <c:numCache>
                <c:formatCode>General</c:formatCode>
                <c:ptCount val="3"/>
                <c:pt idx="0">
                  <c:v>2013</c:v>
                </c:pt>
                <c:pt idx="1">
                  <c:v>2014</c:v>
                </c:pt>
                <c:pt idx="2">
                  <c:v>2015</c:v>
                </c:pt>
              </c:numCache>
            </c:numRef>
          </c:cat>
          <c:val>
            <c:numRef>
              <c:f>Sheet1!$B$2:$B$4</c:f>
              <c:numCache>
                <c:formatCode>0.0%</c:formatCode>
                <c:ptCount val="3"/>
                <c:pt idx="0">
                  <c:v>0.137</c:v>
                </c:pt>
                <c:pt idx="1" c:formatCode="0%">
                  <c:v>0.44</c:v>
                </c:pt>
                <c:pt idx="2" c:formatCode="0%">
                  <c:v>0.750000000000002</c:v>
                </c:pt>
              </c:numCache>
            </c:numRef>
          </c:val>
        </c:ser>
        <c:ser>
          <c:idx val="1"/>
          <c:order val="1"/>
          <c:tx>
            <c:strRef>
              <c:f>Sheet1!$C$1</c:f>
              <c:strCache>
                <c:ptCount val="1"/>
                <c:pt idx="0">
                  <c:v>Realisasi</c:v>
                </c:pt>
              </c:strCache>
            </c:strRef>
          </c:tx>
          <c:invertIfNegative val="0"/>
          <c:dLbls>
            <c:delete val="1"/>
          </c:dLbls>
          <c:cat>
            <c:numRef>
              <c:f>Sheet1!$A$2:$A$4</c:f>
              <c:numCache>
                <c:formatCode>General</c:formatCode>
                <c:ptCount val="3"/>
                <c:pt idx="0">
                  <c:v>2013</c:v>
                </c:pt>
                <c:pt idx="1">
                  <c:v>2014</c:v>
                </c:pt>
                <c:pt idx="2">
                  <c:v>2015</c:v>
                </c:pt>
              </c:numCache>
            </c:numRef>
          </c:cat>
          <c:val>
            <c:numRef>
              <c:f>Sheet1!$C$2:$C$4</c:f>
              <c:numCache>
                <c:formatCode>0.00%</c:formatCode>
                <c:ptCount val="3"/>
                <c:pt idx="0">
                  <c:v>0.309000000000001</c:v>
                </c:pt>
                <c:pt idx="1" c:formatCode="0%">
                  <c:v>0.600000000000001</c:v>
                </c:pt>
                <c:pt idx="2" c:formatCode="0.0%">
                  <c:v>0.950000000000001</c:v>
                </c:pt>
              </c:numCache>
            </c:numRef>
          </c:val>
        </c:ser>
        <c:dLbls>
          <c:showLegendKey val="0"/>
          <c:showVal val="0"/>
          <c:showCatName val="0"/>
          <c:showSerName val="0"/>
          <c:showPercent val="0"/>
          <c:showBubbleSize val="0"/>
        </c:dLbls>
        <c:gapWidth val="150"/>
        <c:axId val="105913344"/>
        <c:axId val="101802752"/>
      </c:barChart>
      <c:catAx>
        <c:axId val="105913344"/>
        <c:scaling>
          <c:orientation val="minMax"/>
        </c:scaling>
        <c:delete val="0"/>
        <c:axPos val="b"/>
        <c:numFmt formatCode="General" sourceLinked="1"/>
        <c:majorTickMark val="none"/>
        <c:minorTickMark val="none"/>
        <c:tickLblPos val="nextTo"/>
        <c:txPr>
          <a:bodyPr rot="-60000000" spcFirstLastPara="0" vertOverflow="ellipsis" vert="horz" wrap="square" anchor="ctr" anchorCtr="1"/>
          <a:lstStyle/>
          <a:p>
            <a:pPr>
              <a:defRPr lang="id-ID" sz="1000" b="0" i="0" u="none" strike="noStrike" kern="1200" baseline="0">
                <a:solidFill>
                  <a:schemeClr val="tx1"/>
                </a:solidFill>
                <a:latin typeface="+mn-lt"/>
                <a:ea typeface="+mn-ea"/>
                <a:cs typeface="+mn-cs"/>
              </a:defRPr>
            </a:pPr>
          </a:p>
        </c:txPr>
        <c:crossAx val="101802752"/>
        <c:crosses val="autoZero"/>
        <c:auto val="0"/>
        <c:lblAlgn val="ctr"/>
        <c:lblOffset val="100"/>
        <c:noMultiLvlLbl val="0"/>
      </c:catAx>
      <c:valAx>
        <c:axId val="101802752"/>
        <c:scaling>
          <c:orientation val="minMax"/>
        </c:scaling>
        <c:delete val="0"/>
        <c:axPos val="l"/>
        <c:majorGridlines/>
        <c:title>
          <c:tx>
            <c:rich>
              <a:bodyPr rot="0" spcFirstLastPara="0" vertOverflow="ellipsis" vert="horz" wrap="square" anchor="ctr" anchorCtr="1"/>
              <a:lstStyle/>
              <a:p>
                <a:pPr>
                  <a:defRPr lang="id-ID" sz="1000" b="1" i="0" u="none" strike="noStrike" kern="1200" baseline="0">
                    <a:solidFill>
                      <a:schemeClr val="tx1"/>
                    </a:solidFill>
                    <a:latin typeface="+mn-lt"/>
                    <a:ea typeface="+mn-ea"/>
                    <a:cs typeface="+mn-cs"/>
                  </a:defRPr>
                </a:pPr>
                <a:r>
                  <a:rPr lang="id-ID"/>
                  <a:t>%</a:t>
                </a:r>
                <a:r>
                  <a:rPr lang="id-ID" baseline="0"/>
                  <a:t> Target dan Capaian</a:t>
                </a:r>
                <a:endParaRPr lang="id-ID"/>
              </a:p>
            </c:rich>
          </c:tx>
          <c:layout/>
          <c:overlay val="0"/>
        </c:title>
        <c:numFmt formatCode="0.0%" sourceLinked="1"/>
        <c:majorTickMark val="none"/>
        <c:minorTickMark val="none"/>
        <c:tickLblPos val="nextTo"/>
        <c:txPr>
          <a:bodyPr rot="-60000000" spcFirstLastPara="0" vertOverflow="ellipsis" vert="horz" wrap="square" anchor="ctr" anchorCtr="1"/>
          <a:lstStyle/>
          <a:p>
            <a:pPr>
              <a:defRPr lang="id-ID" sz="1000" b="0" i="0" u="none" strike="noStrike" kern="1200" baseline="0">
                <a:solidFill>
                  <a:schemeClr val="tx1"/>
                </a:solidFill>
                <a:latin typeface="+mn-lt"/>
                <a:ea typeface="+mn-ea"/>
                <a:cs typeface="+mn-cs"/>
              </a:defRPr>
            </a:pPr>
          </a:p>
        </c:txPr>
        <c:crossAx val="105913344"/>
        <c:crosses val="autoZero"/>
        <c:crossBetween val="between"/>
      </c:valAx>
      <c:dTable>
        <c:showHorzBorder val="1"/>
        <c:showVertBorder val="1"/>
        <c:showOutline val="1"/>
        <c:showKeys val="1"/>
        <c:txPr>
          <a:bodyPr rot="0" spcFirstLastPara="0" vertOverflow="ellipsis" vert="horz" wrap="square" anchor="ctr" anchorCtr="1"/>
          <a:lstStyle/>
          <a:p>
            <a:pPr>
              <a:defRPr lang="id-ID" sz="1000" b="0" i="0" u="none" strike="noStrike" kern="1200" baseline="0">
                <a:solidFill>
                  <a:schemeClr val="tx1"/>
                </a:solidFill>
                <a:latin typeface="+mn-lt"/>
                <a:ea typeface="+mn-ea"/>
                <a:cs typeface="+mn-cs"/>
              </a:defRPr>
            </a:pPr>
          </a:p>
        </c:txPr>
      </c:dTable>
    </c:plotArea>
    <c:plotVisOnly val="1"/>
    <c:dispBlanksAs val="zero"/>
    <c:showDLblsOverMax val="0"/>
  </c:chart>
  <c:txPr>
    <a:bodyPr/>
    <a:lstStyle/>
    <a:p>
      <a:pPr>
        <a:defRPr lang="id-ID"/>
      </a:pPr>
    </a:p>
  </c:txPr>
  <c:externalData r:id="rId1">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Sheet1!$B$1</c:f>
              <c:strCache>
                <c:ptCount val="1"/>
                <c:pt idx="0">
                  <c:v>Target</c:v>
                </c:pt>
              </c:strCache>
            </c:strRef>
          </c:tx>
          <c:invertIfNegative val="0"/>
          <c:dLbls>
            <c:delete val="1"/>
          </c:dLbls>
          <c:cat>
            <c:numRef>
              <c:f>Sheet1!$A$2:$A$4</c:f>
              <c:numCache>
                <c:formatCode>General</c:formatCode>
                <c:ptCount val="3"/>
                <c:pt idx="0">
                  <c:v>2013</c:v>
                </c:pt>
                <c:pt idx="1">
                  <c:v>2014</c:v>
                </c:pt>
                <c:pt idx="2">
                  <c:v>2015</c:v>
                </c:pt>
              </c:numCache>
            </c:numRef>
          </c:cat>
          <c:val>
            <c:numRef>
              <c:f>Sheet1!$B$2:$B$4</c:f>
              <c:numCache>
                <c:formatCode>0%</c:formatCode>
                <c:ptCount val="3"/>
                <c:pt idx="0">
                  <c:v>0.9</c:v>
                </c:pt>
                <c:pt idx="1">
                  <c:v>0.9</c:v>
                </c:pt>
                <c:pt idx="2">
                  <c:v>0.9</c:v>
                </c:pt>
              </c:numCache>
            </c:numRef>
          </c:val>
        </c:ser>
        <c:ser>
          <c:idx val="1"/>
          <c:order val="1"/>
          <c:tx>
            <c:strRef>
              <c:f>Sheet1!$C$1</c:f>
              <c:strCache>
                <c:ptCount val="1"/>
                <c:pt idx="0">
                  <c:v>Realisasi</c:v>
                </c:pt>
              </c:strCache>
            </c:strRef>
          </c:tx>
          <c:invertIfNegative val="0"/>
          <c:dLbls>
            <c:delete val="1"/>
          </c:dLbls>
          <c:cat>
            <c:numRef>
              <c:f>Sheet1!$A$2:$A$4</c:f>
              <c:numCache>
                <c:formatCode>General</c:formatCode>
                <c:ptCount val="3"/>
                <c:pt idx="0">
                  <c:v>2013</c:v>
                </c:pt>
                <c:pt idx="1">
                  <c:v>2014</c:v>
                </c:pt>
                <c:pt idx="2">
                  <c:v>2015</c:v>
                </c:pt>
              </c:numCache>
            </c:numRef>
          </c:cat>
          <c:val>
            <c:numRef>
              <c:f>Sheet1!$C$2:$C$4</c:f>
              <c:numCache>
                <c:formatCode>0%</c:formatCode>
                <c:ptCount val="3"/>
                <c:pt idx="0">
                  <c:v>0.9</c:v>
                </c:pt>
                <c:pt idx="1">
                  <c:v>1.6</c:v>
                </c:pt>
                <c:pt idx="2">
                  <c:v>0.600000000000001</c:v>
                </c:pt>
              </c:numCache>
            </c:numRef>
          </c:val>
        </c:ser>
        <c:dLbls>
          <c:showLegendKey val="0"/>
          <c:showVal val="0"/>
          <c:showCatName val="0"/>
          <c:showSerName val="0"/>
          <c:showPercent val="0"/>
          <c:showBubbleSize val="0"/>
        </c:dLbls>
        <c:gapWidth val="150"/>
        <c:axId val="101812480"/>
        <c:axId val="101822464"/>
      </c:barChart>
      <c:catAx>
        <c:axId val="101812480"/>
        <c:scaling>
          <c:orientation val="minMax"/>
        </c:scaling>
        <c:delete val="0"/>
        <c:axPos val="b"/>
        <c:numFmt formatCode="General" sourceLinked="1"/>
        <c:majorTickMark val="none"/>
        <c:minorTickMark val="none"/>
        <c:tickLblPos val="nextTo"/>
        <c:txPr>
          <a:bodyPr rot="-60000000" spcFirstLastPara="0" vertOverflow="ellipsis" vert="horz" wrap="square" anchor="ctr" anchorCtr="1"/>
          <a:lstStyle/>
          <a:p>
            <a:pPr>
              <a:defRPr lang="id-ID" sz="1000" b="0" i="0" u="none" strike="noStrike" kern="1200" baseline="0">
                <a:solidFill>
                  <a:schemeClr val="tx1"/>
                </a:solidFill>
                <a:latin typeface="+mn-lt"/>
                <a:ea typeface="+mn-ea"/>
                <a:cs typeface="+mn-cs"/>
              </a:defRPr>
            </a:pPr>
          </a:p>
        </c:txPr>
        <c:crossAx val="101822464"/>
        <c:crosses val="autoZero"/>
        <c:auto val="0"/>
        <c:lblAlgn val="ctr"/>
        <c:lblOffset val="100"/>
        <c:noMultiLvlLbl val="0"/>
      </c:catAx>
      <c:valAx>
        <c:axId val="101822464"/>
        <c:scaling>
          <c:orientation val="minMax"/>
        </c:scaling>
        <c:delete val="0"/>
        <c:axPos val="l"/>
        <c:majorGridlines/>
        <c:title>
          <c:tx>
            <c:rich>
              <a:bodyPr rot="0" spcFirstLastPara="0" vertOverflow="ellipsis" vert="horz" wrap="square" anchor="ctr" anchorCtr="1"/>
              <a:lstStyle/>
              <a:p>
                <a:pPr>
                  <a:defRPr lang="id-ID" sz="1000" b="1" i="0" u="none" strike="noStrike" kern="1200" baseline="0">
                    <a:solidFill>
                      <a:schemeClr val="tx1"/>
                    </a:solidFill>
                    <a:latin typeface="+mn-lt"/>
                    <a:ea typeface="+mn-ea"/>
                    <a:cs typeface="+mn-cs"/>
                  </a:defRPr>
                </a:pPr>
                <a:r>
                  <a:rPr lang="id-ID"/>
                  <a:t>%</a:t>
                </a:r>
                <a:r>
                  <a:rPr lang="id-ID" baseline="0"/>
                  <a:t> Target dan Capaian</a:t>
                </a:r>
                <a:endParaRPr lang="id-ID"/>
              </a:p>
            </c:rich>
          </c:tx>
          <c:layout/>
          <c:overlay val="0"/>
        </c:title>
        <c:numFmt formatCode="0%" sourceLinked="1"/>
        <c:majorTickMark val="none"/>
        <c:minorTickMark val="none"/>
        <c:tickLblPos val="nextTo"/>
        <c:txPr>
          <a:bodyPr rot="-60000000" spcFirstLastPara="0" vertOverflow="ellipsis" vert="horz" wrap="square" anchor="ctr" anchorCtr="1"/>
          <a:lstStyle/>
          <a:p>
            <a:pPr>
              <a:defRPr lang="id-ID" sz="1000" b="0" i="0" u="none" strike="noStrike" kern="1200" baseline="0">
                <a:solidFill>
                  <a:schemeClr val="tx1"/>
                </a:solidFill>
                <a:latin typeface="+mn-lt"/>
                <a:ea typeface="+mn-ea"/>
                <a:cs typeface="+mn-cs"/>
              </a:defRPr>
            </a:pPr>
          </a:p>
        </c:txPr>
        <c:crossAx val="101812480"/>
        <c:crosses val="autoZero"/>
        <c:crossBetween val="between"/>
      </c:valAx>
      <c:dTable>
        <c:showHorzBorder val="1"/>
        <c:showVertBorder val="1"/>
        <c:showOutline val="1"/>
        <c:showKeys val="1"/>
        <c:txPr>
          <a:bodyPr rot="0" spcFirstLastPara="0" vertOverflow="ellipsis" vert="horz" wrap="square" anchor="ctr" anchorCtr="1"/>
          <a:lstStyle/>
          <a:p>
            <a:pPr>
              <a:defRPr lang="id-ID" sz="1000" b="0" i="0" u="none" strike="noStrike" kern="1200" baseline="0">
                <a:solidFill>
                  <a:schemeClr val="tx1"/>
                </a:solidFill>
                <a:latin typeface="+mn-lt"/>
                <a:ea typeface="+mn-ea"/>
                <a:cs typeface="+mn-cs"/>
              </a:defRPr>
            </a:pPr>
          </a:p>
        </c:txPr>
      </c:dTable>
    </c:plotArea>
    <c:plotVisOnly val="1"/>
    <c:dispBlanksAs val="zero"/>
    <c:showDLblsOverMax val="0"/>
  </c:chart>
  <c:txPr>
    <a:bodyPr/>
    <a:lstStyle/>
    <a:p>
      <a:pPr>
        <a:defRPr lang="id-ID"/>
      </a:pPr>
    </a:p>
  </c:txPr>
  <c:externalData r:id="rId1">
    <c:autoUpdate val="0"/>
  </c:externalData>
</c:chartSpace>
</file>

<file path=word/charts/chart9.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Sheet1!$B$1</c:f>
              <c:strCache>
                <c:ptCount val="1"/>
                <c:pt idx="0">
                  <c:v>Target</c:v>
                </c:pt>
              </c:strCache>
            </c:strRef>
          </c:tx>
          <c:invertIfNegative val="0"/>
          <c:dLbls>
            <c:delete val="1"/>
          </c:dLbls>
          <c:cat>
            <c:numRef>
              <c:f>Sheet1!$A$2:$A$3</c:f>
              <c:numCache>
                <c:formatCode>General</c:formatCode>
                <c:ptCount val="2"/>
                <c:pt idx="0">
                  <c:v>2014</c:v>
                </c:pt>
                <c:pt idx="1">
                  <c:v>2015</c:v>
                </c:pt>
              </c:numCache>
            </c:numRef>
          </c:cat>
          <c:val>
            <c:numRef>
              <c:f>Sheet1!$B$2:$B$3</c:f>
              <c:numCache>
                <c:formatCode>General</c:formatCode>
                <c:ptCount val="2"/>
                <c:pt idx="0">
                  <c:v>172</c:v>
                </c:pt>
                <c:pt idx="1">
                  <c:v>20</c:v>
                </c:pt>
              </c:numCache>
            </c:numRef>
          </c:val>
        </c:ser>
        <c:ser>
          <c:idx val="1"/>
          <c:order val="1"/>
          <c:tx>
            <c:strRef>
              <c:f>Sheet1!$C$1</c:f>
              <c:strCache>
                <c:ptCount val="1"/>
                <c:pt idx="0">
                  <c:v>Realisasi</c:v>
                </c:pt>
              </c:strCache>
            </c:strRef>
          </c:tx>
          <c:invertIfNegative val="0"/>
          <c:dLbls>
            <c:delete val="1"/>
          </c:dLbls>
          <c:cat>
            <c:numRef>
              <c:f>Sheet1!$A$2:$A$3</c:f>
              <c:numCache>
                <c:formatCode>General</c:formatCode>
                <c:ptCount val="2"/>
                <c:pt idx="0">
                  <c:v>2014</c:v>
                </c:pt>
                <c:pt idx="1">
                  <c:v>2015</c:v>
                </c:pt>
              </c:numCache>
            </c:numRef>
          </c:cat>
          <c:val>
            <c:numRef>
              <c:f>Sheet1!$C$2:$C$3</c:f>
              <c:numCache>
                <c:formatCode>General</c:formatCode>
                <c:ptCount val="2"/>
                <c:pt idx="0">
                  <c:v>172</c:v>
                </c:pt>
                <c:pt idx="1">
                  <c:v>20</c:v>
                </c:pt>
              </c:numCache>
            </c:numRef>
          </c:val>
        </c:ser>
        <c:dLbls>
          <c:showLegendKey val="0"/>
          <c:showVal val="0"/>
          <c:showCatName val="0"/>
          <c:showSerName val="0"/>
          <c:showPercent val="0"/>
          <c:showBubbleSize val="0"/>
        </c:dLbls>
        <c:gapWidth val="150"/>
        <c:axId val="106595840"/>
        <c:axId val="106597376"/>
      </c:barChart>
      <c:catAx>
        <c:axId val="106595840"/>
        <c:scaling>
          <c:orientation val="minMax"/>
        </c:scaling>
        <c:delete val="0"/>
        <c:axPos val="b"/>
        <c:numFmt formatCode="General" sourceLinked="1"/>
        <c:majorTickMark val="none"/>
        <c:minorTickMark val="none"/>
        <c:tickLblPos val="nextTo"/>
        <c:txPr>
          <a:bodyPr rot="-60000000" spcFirstLastPara="0" vertOverflow="ellipsis" vert="horz" wrap="square" anchor="ctr" anchorCtr="1"/>
          <a:lstStyle/>
          <a:p>
            <a:pPr>
              <a:defRPr lang="id-ID" sz="1000" b="0" i="0" u="none" strike="noStrike" kern="1200" baseline="0">
                <a:solidFill>
                  <a:schemeClr val="tx1"/>
                </a:solidFill>
                <a:latin typeface="+mn-lt"/>
                <a:ea typeface="+mn-ea"/>
                <a:cs typeface="+mn-cs"/>
              </a:defRPr>
            </a:pPr>
          </a:p>
        </c:txPr>
        <c:crossAx val="106597376"/>
        <c:crosses val="autoZero"/>
        <c:auto val="0"/>
        <c:lblAlgn val="ctr"/>
        <c:lblOffset val="100"/>
        <c:noMultiLvlLbl val="0"/>
      </c:catAx>
      <c:valAx>
        <c:axId val="106597376"/>
        <c:scaling>
          <c:orientation val="minMax"/>
        </c:scaling>
        <c:delete val="0"/>
        <c:axPos val="l"/>
        <c:majorGridlines/>
        <c:title>
          <c:tx>
            <c:rich>
              <a:bodyPr rot="0" spcFirstLastPara="0" vertOverflow="ellipsis" vert="horz" wrap="square" anchor="ctr" anchorCtr="1"/>
              <a:lstStyle/>
              <a:p>
                <a:pPr>
                  <a:defRPr lang="id-ID" sz="1000" b="1" i="0" u="none" strike="noStrike" kern="1200" baseline="0">
                    <a:solidFill>
                      <a:schemeClr val="tx1"/>
                    </a:solidFill>
                    <a:latin typeface="+mn-lt"/>
                    <a:ea typeface="+mn-ea"/>
                    <a:cs typeface="+mn-cs"/>
                  </a:defRPr>
                </a:pPr>
                <a:r>
                  <a:rPr lang="id-ID" sz="900"/>
                  <a:t>Objek</a:t>
                </a:r>
                <a:r>
                  <a:rPr lang="id-ID" sz="900" baseline="0"/>
                  <a:t> Aset yang Dipinjampakaikan</a:t>
                </a:r>
                <a:endParaRPr lang="id-ID" sz="900" baseline="0"/>
              </a:p>
            </c:rich>
          </c:tx>
          <c:layout>
            <c:manualLayout>
              <c:xMode val="edge"/>
              <c:yMode val="edge"/>
              <c:x val="0.0152361604875571"/>
              <c:y val="0.327328065872702"/>
            </c:manualLayout>
          </c:layout>
          <c:overlay val="0"/>
        </c:title>
        <c:numFmt formatCode="General" sourceLinked="1"/>
        <c:majorTickMark val="none"/>
        <c:minorTickMark val="none"/>
        <c:tickLblPos val="nextTo"/>
        <c:txPr>
          <a:bodyPr rot="-60000000" spcFirstLastPara="0" vertOverflow="ellipsis" vert="horz" wrap="square" anchor="ctr" anchorCtr="1"/>
          <a:lstStyle/>
          <a:p>
            <a:pPr>
              <a:defRPr lang="id-ID" sz="1000" b="0" i="0" u="none" strike="noStrike" kern="1200" baseline="0">
                <a:solidFill>
                  <a:schemeClr val="tx1"/>
                </a:solidFill>
                <a:latin typeface="+mn-lt"/>
                <a:ea typeface="+mn-ea"/>
                <a:cs typeface="+mn-cs"/>
              </a:defRPr>
            </a:pPr>
          </a:p>
        </c:txPr>
        <c:crossAx val="106595840"/>
        <c:crosses val="autoZero"/>
        <c:crossBetween val="between"/>
      </c:valAx>
      <c:dTable>
        <c:showHorzBorder val="1"/>
        <c:showVertBorder val="1"/>
        <c:showOutline val="1"/>
        <c:showKeys val="1"/>
        <c:txPr>
          <a:bodyPr rot="0" spcFirstLastPara="0" vertOverflow="ellipsis" vert="horz" wrap="square" anchor="ctr" anchorCtr="1"/>
          <a:lstStyle/>
          <a:p>
            <a:pPr>
              <a:defRPr lang="id-ID" sz="1000" b="0" i="0" u="none" strike="noStrike" kern="1200" baseline="0">
                <a:solidFill>
                  <a:schemeClr val="tx1"/>
                </a:solidFill>
                <a:latin typeface="+mn-lt"/>
                <a:ea typeface="+mn-ea"/>
                <a:cs typeface="+mn-cs"/>
              </a:defRPr>
            </a:pPr>
          </a:p>
        </c:txPr>
      </c:dTable>
    </c:plotArea>
    <c:plotVisOnly val="1"/>
    <c:dispBlanksAs val="zero"/>
    <c:showDLblsOverMax val="0"/>
  </c:chart>
  <c:txPr>
    <a:bodyPr/>
    <a:lstStyle/>
    <a:p>
      <a:pPr>
        <a:defRPr lang="id-ID"/>
      </a:pPr>
    </a:p>
  </c:txPr>
  <c:externalData r:id="rId1">
    <c:autoUpdate val="0"/>
  </c:externalData>
</c:chartSpace>
</file>

<file path=word/charts/colors1.xml><?xml version="1.0" encoding="utf-8"?>
<cs:colorStyle xmlns:cs="http://schemas.microsoft.com/office/drawing/2012/chartStyle" xmlns:a="http://schemas.openxmlformats.org/drawingml/2006/main" meth="cycle" id="13">
  <a:schemeClr val="accent6"/>
  <a:schemeClr val="accent5"/>
  <a:schemeClr val="accent4"/>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acrossLinear" id="2">
  <a:schemeClr val="accent1"/>
  <a:schemeClr val="accent2"/>
  <a:schemeClr val="accent3"/>
  <a:schemeClr val="accent4"/>
  <a:schemeClr val="accent5"/>
  <a:schemeClr val="accent6"/>
</cs:colorStyle>
</file>

<file path=word/charts/style1.xml><?xml version="1.0" encoding="utf-8"?>
<cs:chartStyle xmlns:cs="http://schemas.microsoft.com/office/drawing/2012/chartStyle" xmlns:a="http://schemas.openxmlformats.org/drawingml/2006/main" id="102">
  <cs:axisTitle>
    <cs:lnRef idx="0"/>
    <cs:fillRef idx="0"/>
    <cs:effectRef idx="0"/>
    <cs:fontRef idx="minor">
      <a:schemeClr val="tx1"/>
    </cs:fontRef>
    <cs:defRPr sz="1000" b="1" kern="1200"/>
  </cs:axisTitle>
  <cs:categoryAxis>
    <cs:lnRef idx="1">
      <a:schemeClr val="tx1">
        <a:tint val="75000"/>
      </a:schemeClr>
    </cs:lnRef>
    <cs:fillRef idx="0"/>
    <cs:effectRef idx="0"/>
    <cs:fontRef idx="minor">
      <a:schemeClr val="tx1"/>
    </cs:fontRef>
    <cs:spPr>
      <a:ln>
        <a:round/>
      </a:ln>
    </cs:spPr>
    <cs:defRPr sz="1000" kern="1200"/>
  </cs:categoryAxis>
  <cs:chartArea mods="allowNoFillOverride allowNoLineOverride">
    <cs:lnRef idx="1">
      <a:schemeClr val="tx1">
        <a:tint val="75000"/>
      </a:schemeClr>
    </cs:lnRef>
    <cs:fillRef idx="1">
      <a:schemeClr val="bg1"/>
    </cs:fillRef>
    <cs:effectRef idx="0"/>
    <cs:fontRef idx="minor">
      <a:schemeClr val="tx1"/>
    </cs:fontRef>
    <cs:spPr>
      <a:ln>
        <a:round/>
      </a:ln>
    </cs:spPr>
    <cs:defRPr sz="1000" kern="1200"/>
  </cs:chartArea>
  <cs:dataLabel>
    <cs:lnRef idx="0"/>
    <cs:fillRef idx="0"/>
    <cs:effectRef idx="0"/>
    <cs:fontRef idx="minor">
      <a:schemeClr val="tx1"/>
    </cs:fontRef>
    <cs:defRPr sz="1000" kern="1200"/>
  </cs:dataLabel>
  <cs:dataLabelCallout>
    <cs:lnRef idx="0"/>
    <cs:fillRef idx="0"/>
    <cs:effectRef idx="0"/>
    <cs:fontRef idx="minor">
      <a:schemeClr val="dk1"/>
    </cs:fontRef>
    <cs:spPr>
      <a:solidFill>
        <a:schemeClr val="lt1"/>
      </a:solidFill>
      <a:ln>
        <a:solidFill>
          <a:schemeClr val="dk1">
            <a:lumMod val="65000"/>
            <a:lumOff val="35000"/>
          </a:schemeClr>
        </a:solidFill>
      </a:ln>
    </cs:spPr>
    <cs:defRPr sz="1000" kern="1200"/>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1">
      <cs:styleClr val="auto"/>
    </cs:lnRef>
    <cs:lineWidthScale>3</cs:lineWidthScale>
    <cs:fillRef idx="0"/>
    <cs:effectRef idx="0"/>
    <cs:fontRef idx="minor">
      <a:schemeClr val="tx1"/>
    </cs:fontRef>
    <cs:spPr>
      <a:ln cap="rnd">
        <a:round/>
      </a:ln>
    </cs:spPr>
  </cs:dataPointLine>
  <cs:dataPointMarker>
    <cs:lnRef idx="1">
      <cs:styleClr val="auto"/>
    </cs:lnRef>
    <cs:fillRef idx="1">
      <cs:styleClr val="auto"/>
    </cs:fillRef>
    <cs:effectRef idx="0"/>
    <cs:fontRef idx="minor">
      <a:schemeClr val="tx1"/>
    </cs:fontRef>
    <cs:spPr>
      <a:ln>
        <a:round/>
      </a:ln>
    </cs:spPr>
  </cs:dataPointMarker>
  <cs:dataPointMarkerLayout/>
  <cs:dataPointWireframe>
    <cs:lnRef idx="1">
      <cs:styleClr val="auto"/>
    </cs:lnRef>
    <cs:fillRef idx="0"/>
    <cs:effectRef idx="0"/>
    <cs:fontRef idx="minor">
      <a:schemeClr val="tx1"/>
    </cs:fontRef>
    <cs:spPr>
      <a:ln>
        <a:round/>
      </a:ln>
    </cs:spPr>
  </cs:dataPointWireframe>
  <cs:dataTable>
    <cs:lnRef idx="1">
      <a:schemeClr val="tx1">
        <a:tint val="75000"/>
      </a:schemeClr>
    </cs:lnRef>
    <cs:fillRef idx="0"/>
    <cs:effectRef idx="0"/>
    <cs:fontRef idx="minor">
      <a:schemeClr val="tx1"/>
    </cs:fontRef>
    <cs:spPr>
      <a:ln>
        <a:round/>
      </a:ln>
    </cs:spPr>
    <cs:defRPr sz="1000" kern="1200"/>
  </cs:dataTable>
  <cs:downBar>
    <cs:lnRef idx="1">
      <a:schemeClr val="tx1"/>
    </cs:lnRef>
    <cs:fillRef idx="1">
      <a:schemeClr val="dk1">
        <a:tint val="95000"/>
      </a:schemeClr>
    </cs:fillRef>
    <cs:effectRef idx="0"/>
    <cs:fontRef idx="minor">
      <a:schemeClr val="tx1"/>
    </cs:fontRef>
    <cs:spPr>
      <a:ln>
        <a:round/>
      </a:ln>
    </cs:spPr>
  </cs:downBar>
  <cs:dropLine>
    <cs:lnRef idx="1">
      <a:schemeClr val="tx1"/>
    </cs:lnRef>
    <cs:fillRef idx="0"/>
    <cs:effectRef idx="0"/>
    <cs:fontRef idx="minor">
      <a:schemeClr val="tx1"/>
    </cs:fontRef>
    <cs:spPr>
      <a:ln>
        <a:round/>
      </a:ln>
    </cs:spPr>
  </cs:dropLine>
  <cs:errorBar>
    <cs:lnRef idx="1">
      <a:schemeClr val="tx1"/>
    </cs:lnRef>
    <cs:fillRef idx="1">
      <a:schemeClr val="tx1"/>
    </cs:fillRef>
    <cs:effectRef idx="0"/>
    <cs:fontRef idx="minor">
      <a:schemeClr val="tx1"/>
    </cs:fontRef>
    <cs:spPr>
      <a:ln>
        <a:round/>
      </a:ln>
    </cs:spPr>
  </cs:errorBar>
  <cs:floor>
    <cs:lnRef idx="1">
      <a:schemeClr val="tx1">
        <a:tint val="75000"/>
      </a:schemeClr>
    </cs:lnRef>
    <cs:fillRef idx="0"/>
    <cs:effectRef idx="0"/>
    <cs:fontRef idx="minor">
      <a:schemeClr val="tx1"/>
    </cs:fontRef>
    <cs:spPr>
      <a:ln>
        <a:round/>
      </a:ln>
    </cs:spPr>
  </cs:floor>
  <cs:gridlineMajor>
    <cs:lnRef idx="1">
      <a:schemeClr val="tx1">
        <a:tint val="75000"/>
      </a:schemeClr>
    </cs:lnRef>
    <cs:fillRef idx="0"/>
    <cs:effectRef idx="0"/>
    <cs:fontRef idx="minor">
      <a:schemeClr val="tx1"/>
    </cs:fontRef>
    <cs:spPr>
      <a:ln>
        <a:round/>
      </a:ln>
    </cs:spPr>
  </cs:gridlineMajor>
  <cs:gridlineMinor>
    <cs:lnRef idx="1">
      <a:schemeClr val="tx1">
        <a:tint val="50000"/>
      </a:schemeClr>
    </cs:lnRef>
    <cs:fillRef idx="0"/>
    <cs:effectRef idx="0"/>
    <cs:fontRef idx="minor">
      <a:schemeClr val="tx1"/>
    </cs:fontRef>
    <cs:spPr>
      <a:ln>
        <a:round/>
      </a:ln>
    </cs:spPr>
  </cs:gridlineMinor>
  <cs:hiLoLine>
    <cs:lnRef idx="1">
      <a:schemeClr val="tx1"/>
    </cs:lnRef>
    <cs:fillRef idx="0"/>
    <cs:effectRef idx="0"/>
    <cs:fontRef idx="minor">
      <a:schemeClr val="tx1"/>
    </cs:fontRef>
    <cs:spPr>
      <a:ln>
        <a:round/>
      </a:ln>
    </cs:spPr>
  </cs:hiLoLine>
  <cs:leaderLine>
    <cs:lnRef idx="1">
      <a:schemeClr val="tx1"/>
    </cs:lnRef>
    <cs:fillRef idx="0"/>
    <cs:effectRef idx="0"/>
    <cs:fontRef idx="minor">
      <a:schemeClr val="tx1"/>
    </cs:fontRef>
    <cs:spPr>
      <a:ln>
        <a:round/>
      </a:ln>
    </cs:spPr>
  </cs:leaderLine>
  <cs:legend>
    <cs:lnRef idx="0"/>
    <cs:fillRef idx="0"/>
    <cs:effectRef idx="0"/>
    <cs:fontRef idx="minor">
      <a:schemeClr val="tx1"/>
    </cs:fontRef>
    <cs:defRPr sz="1000" kern="1200"/>
  </cs:legend>
  <cs:plotArea mods="allowNoFillOverride allowNoLineOverride">
    <cs:lnRef idx="0"/>
    <cs:fillRef idx="1">
      <a:schemeClr val="bg1"/>
    </cs:fillRef>
    <cs:effectRef idx="0"/>
    <cs:fontRef idx="minor">
      <a:schemeClr val="tx1"/>
    </cs:fontRef>
  </cs:plotArea>
  <cs:plotArea3D>
    <cs:lnRef idx="0"/>
    <cs:fillRef idx="0"/>
    <cs:effectRef idx="0"/>
    <cs:fontRef idx="minor">
      <a:schemeClr val="tx1"/>
    </cs:fontRef>
  </cs:plotArea3D>
  <cs:seriesAxis>
    <cs:lnRef idx="1">
      <a:schemeClr val="tx1">
        <a:tint val="75000"/>
      </a:schemeClr>
    </cs:lnRef>
    <cs:fillRef idx="0"/>
    <cs:effectRef idx="0"/>
    <cs:fontRef idx="minor">
      <a:schemeClr val="tx1"/>
    </cs:fontRef>
    <cs:spPr>
      <a:ln>
        <a:round/>
      </a:ln>
    </cs:spPr>
    <cs:defRPr sz="1000" kern="1200"/>
  </cs:seriesAxis>
  <cs:seriesLine>
    <cs:lnRef idx="1">
      <a:schemeClr val="tx1"/>
    </cs:lnRef>
    <cs:fillRef idx="0"/>
    <cs:effectRef idx="0"/>
    <cs:fontRef idx="minor">
      <a:schemeClr val="tx1"/>
    </cs:fontRef>
    <cs:spPr>
      <a:ln>
        <a:round/>
      </a:ln>
    </cs:spPr>
  </cs:seriesLine>
  <cs:title>
    <cs:lnRef idx="0"/>
    <cs:fillRef idx="0"/>
    <cs:effectRef idx="0"/>
    <cs:fontRef idx="minor">
      <a:schemeClr val="tx1"/>
    </cs:fontRef>
    <cs:defRPr sz="1800" b="1" kern="1200"/>
  </cs:title>
  <cs:trendline>
    <cs:lnRef idx="1">
      <a:schemeClr val="tx1"/>
    </cs:lnRef>
    <cs:fillRef idx="0"/>
    <cs:effectRef idx="0"/>
    <cs:fontRef idx="minor">
      <a:schemeClr val="tx1"/>
    </cs:fontRef>
    <cs:spPr>
      <a:ln cap="rnd">
        <a:round/>
      </a:ln>
    </cs:spPr>
  </cs:trendline>
  <cs:trendlineLabel>
    <cs:lnRef idx="0"/>
    <cs:fillRef idx="0"/>
    <cs:effectRef idx="0"/>
    <cs:fontRef idx="minor">
      <a:schemeClr val="tx1"/>
    </cs:fontRef>
    <cs:defRPr sz="1000" kern="1200"/>
  </cs:trendlineLabel>
  <cs:upBar>
    <cs:lnRef idx="1">
      <a:schemeClr val="tx1"/>
    </cs:lnRef>
    <cs:fillRef idx="1">
      <a:schemeClr val="dk1">
        <a:tint val="5000"/>
      </a:schemeClr>
    </cs:fillRef>
    <cs:effectRef idx="0"/>
    <cs:fontRef idx="minor">
      <a:schemeClr val="tx1"/>
    </cs:fontRef>
    <cs:spPr>
      <a:ln>
        <a:round/>
      </a:ln>
    </cs:spPr>
  </cs:upBar>
  <cs:valueAxis>
    <cs:lnRef idx="1">
      <a:schemeClr val="tx1">
        <a:tint val="75000"/>
      </a:schemeClr>
    </cs:lnRef>
    <cs:fillRef idx="0"/>
    <cs:effectRef idx="0"/>
    <cs:fontRef idx="minor">
      <a:schemeClr val="tx1"/>
    </cs:fontRef>
    <cs:spPr>
      <a:ln>
        <a:round/>
      </a:ln>
    </cs:spPr>
    <cs:defRPr sz="1000" kern="1200"/>
  </cs:valueAxis>
  <cs:wall>
    <cs:lnRef idx="0"/>
    <cs:fillRef idx="0"/>
    <cs:effectRef idx="0"/>
    <cs:fontRef idx="minor">
      <a:schemeClr val="tx1"/>
    </cs:fontRef>
  </cs:wall>
</cs:chartStyle>
</file>

<file path=word/charts/style2.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A7550FEE5D824BE5BA55542AE23DB0CE"/>
        <w:style w:val=""/>
        <w:category>
          <w:name w:val="General"/>
          <w:gallery w:val="placeholder"/>
        </w:category>
        <w:types>
          <w:type w:val="bbPlcHdr"/>
        </w:types>
        <w:behaviors>
          <w:behavior w:val="content"/>
        </w:behaviors>
        <w:description w:val=""/>
        <w:guid w:val="{89031082-9C27-496C-8895-2AE9F9CF0011}"/>
      </w:docPartPr>
      <w:docPartBody>
        <w:p>
          <w:pPr>
            <w:pStyle w:val="4"/>
          </w:pPr>
          <w:r>
            <w:rPr>
              <w:rFonts w:asciiTheme="majorHAnsi" w:hAnsiTheme="majorHAnsi" w:eastAsiaTheme="majorEastAsia" w:cstheme="majorBidi"/>
              <w:color w:val="2E75B6" w:themeColor="accent1" w:themeShade="BF"/>
              <w:sz w:val="32"/>
              <w:szCs w:val="32"/>
            </w:rPr>
            <w:t>[Document title]</w:t>
          </w:r>
        </w:p>
      </w:docPartBody>
    </w:docPart>
    <w:docPart>
      <w:docPartPr>
        <w:name w:val="CA8E38EA676C4D90B58A2328B45D7959"/>
        <w:style w:val=""/>
        <w:category>
          <w:name w:val="General"/>
          <w:gallery w:val="placeholder"/>
        </w:category>
        <w:types>
          <w:type w:val="bbPlcHdr"/>
        </w:types>
        <w:behaviors>
          <w:behavior w:val="content"/>
        </w:behaviors>
        <w:description w:val=""/>
        <w:guid w:val="{FE1F28AE-3EA7-4AAF-AAEC-C414F3FC729B}"/>
      </w:docPartPr>
      <w:docPartBody>
        <w:p>
          <w:pPr>
            <w:pStyle w:val="6"/>
          </w:pPr>
          <w:r>
            <w:rPr>
              <w:rFonts w:asciiTheme="majorHAnsi" w:hAnsiTheme="majorHAnsi" w:eastAsiaTheme="majorEastAsia" w:cstheme="majorBidi"/>
              <w:color w:val="2E75B6" w:themeColor="accent1" w:themeShade="BF"/>
              <w:sz w:val="32"/>
              <w:szCs w:val="32"/>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0"/>
    <w:family w:val="swiss"/>
    <w:pitch w:val="default"/>
    <w:sig w:usb0="E0002EFF" w:usb1="C0007843"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Calibri">
    <w:panose1 w:val="020F0502020204030204"/>
    <w:charset w:val="00"/>
    <w:family w:val="swiss"/>
    <w:pitch w:val="default"/>
    <w:sig w:usb0="E0002AFF" w:usb1="C000247B" w:usb2="00000009" w:usb3="00000000" w:csb0="200001FF" w:csb1="00000000"/>
  </w:font>
  <w:font w:name="等线">
    <w:altName w:val="Arial Unicode MS"/>
    <w:panose1 w:val="00000000000000000000"/>
    <w:charset w:val="86"/>
    <w:family w:val="auto"/>
    <w:pitch w:val="default"/>
    <w:sig w:usb0="00000000" w:usb1="00000000" w:usb2="00000000" w:usb3="00000000" w:csb0="00000000" w:csb1="00000000"/>
  </w:font>
  <w:font w:name="等线">
    <w:altName w:val="Arial Unicode MS"/>
    <w:panose1 w:val="00000000000000000000"/>
    <w:charset w:val="86"/>
    <w:family w:val="auto"/>
    <w:pitch w:val="default"/>
    <w:sig w:usb0="00000000" w:usb1="00000000" w:usb2="00000000" w:usb3="00000000" w:csb0="00000000" w:csb1="00000000"/>
  </w:font>
  <w:font w:name="Calibri Light">
    <w:panose1 w:val="020F0302020204030204"/>
    <w:charset w:val="00"/>
    <w:family w:val="swiss"/>
    <w:pitch w:val="default"/>
    <w:sig w:usb0="E0002AFF" w:usb1="C000247B" w:usb2="00000009" w:usb3="00000000" w:csb0="200001FF" w:csb1="00000000"/>
  </w:font>
  <w:font w:name="等线 Light">
    <w:altName w:val="Segoe Print"/>
    <w:panose1 w:val="00000000000000000000"/>
    <w:charset w:val="00"/>
    <w:family w:val="auto"/>
    <w:pitch w:val="default"/>
    <w:sig w:usb0="00000000" w:usb1="00000000" w:usb2="00000000" w:usb3="00000000" w:csb0="00000000" w:csb1="00000000"/>
  </w:font>
  <w:font w:name="Arial Unicode MS">
    <w:panose1 w:val="020B0604020202020204"/>
    <w:charset w:val="86"/>
    <w:family w:val="auto"/>
    <w:pitch w:val="default"/>
    <w:sig w:usb0="FFFFFFFF" w:usb1="E9FFFFFF" w:usb2="0000003F" w:usb3="00000000" w:csb0="603F01FF" w:csb1="FFFF0000"/>
  </w:font>
  <w:font w:name="Segoe Print">
    <w:panose1 w:val="02000600000000000000"/>
    <w:charset w:val="00"/>
    <w:family w:val="auto"/>
    <w:pitch w:val="default"/>
    <w:sig w:usb0="0000028F" w:usb1="00000000" w:usb2="00000000" w:usb3="00000000" w:csb0="2000009F" w:csb1="4701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10FB5"/>
    <w:rsid w:val="00066E18"/>
    <w:rsid w:val="000C6FDB"/>
    <w:rsid w:val="00132B5D"/>
    <w:rsid w:val="00145593"/>
    <w:rsid w:val="003C6EC4"/>
    <w:rsid w:val="003E0EB5"/>
    <w:rsid w:val="004906D4"/>
    <w:rsid w:val="007D4A9F"/>
    <w:rsid w:val="00845048"/>
    <w:rsid w:val="008E6326"/>
    <w:rsid w:val="009C32E0"/>
    <w:rsid w:val="00AE366D"/>
    <w:rsid w:val="00BE3319"/>
    <w:rsid w:val="00C15C09"/>
    <w:rsid w:val="00C37FE9"/>
    <w:rsid w:val="00C44224"/>
    <w:rsid w:val="00D90A79"/>
    <w:rsid w:val="00DD0E02"/>
    <w:rsid w:val="00E10FB5"/>
    <w:rsid w:val="00E83FF7"/>
    <w:rsid w:val="00F34ABF"/>
    <w:rsid w:val="00FF0FAF"/>
  </w:rsids>
  <m:mathPr>
    <m:mathFont m:val="Cambria Math"/>
    <m:brkBin m:val="before"/>
    <m:brkBinSub m:val="--"/>
    <m:smallFrac m:val="0"/>
    <m:dispDef/>
    <m:lMargin m:val="0"/>
    <m:rMargin m:val="0"/>
    <m:defJc m:val="centerGroup"/>
    <m:wrapIndent m:val="1440"/>
    <m:intLim m:val="subSup"/>
    <m:naryLim m:val="undOvr"/>
  </m:mathPr>
  <w:themeFontLang w:val="id-ID"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qFormat="1" w:uiPriority="99" w:name="Normal Table"/>
  </w:latentStyles>
  <w:style w:type="paragraph" w:default="1" w:styleId="1">
    <w:name w:val="Normal"/>
    <w:qFormat/>
    <w:uiPriority w:val="0"/>
    <w:pPr>
      <w:spacing w:after="160" w:line="259" w:lineRule="auto"/>
    </w:pPr>
    <w:rPr>
      <w:rFonts w:asciiTheme="minorHAnsi" w:hAnsiTheme="minorHAnsi" w:eastAsiaTheme="minorEastAsia" w:cstheme="minorBidi"/>
      <w:sz w:val="22"/>
      <w:szCs w:val="22"/>
      <w:lang w:val="id-ID" w:eastAsia="id-ID" w:bidi="ar-SA"/>
    </w:rPr>
  </w:style>
  <w:style w:type="character" w:default="1" w:styleId="2">
    <w:name w:val="Default Paragraph Font"/>
    <w:semiHidden/>
    <w:unhideWhenUsed/>
    <w:qFormat/>
    <w:uiPriority w:val="1"/>
  </w:style>
  <w:style w:type="table" w:default="1" w:styleId="3">
    <w:name w:val="Normal Table"/>
    <w:semiHidden/>
    <w:unhideWhenUsed/>
    <w:qFormat/>
    <w:uiPriority w:val="99"/>
    <w:tblPr>
      <w:tblLayout w:type="fixed"/>
      <w:tblCellMar>
        <w:top w:w="0" w:type="dxa"/>
        <w:left w:w="108" w:type="dxa"/>
        <w:bottom w:w="0" w:type="dxa"/>
        <w:right w:w="108" w:type="dxa"/>
      </w:tblCellMar>
    </w:tblPr>
  </w:style>
  <w:style w:type="paragraph" w:customStyle="1" w:styleId="4">
    <w:name w:val="A7550FEE5D824BE5BA55542AE23DB0CE"/>
    <w:uiPriority w:val="0"/>
    <w:pPr>
      <w:spacing w:after="160" w:line="259" w:lineRule="auto"/>
    </w:pPr>
    <w:rPr>
      <w:rFonts w:asciiTheme="minorHAnsi" w:hAnsiTheme="minorHAnsi" w:eastAsiaTheme="minorEastAsia" w:cstheme="minorBidi"/>
      <w:sz w:val="22"/>
      <w:szCs w:val="22"/>
      <w:lang w:val="id-ID" w:eastAsia="id-ID" w:bidi="ar-SA"/>
    </w:rPr>
  </w:style>
  <w:style w:type="paragraph" w:customStyle="1" w:styleId="5">
    <w:name w:val="7F7FDEA582714C678E8FFF25C1ACDF81"/>
    <w:uiPriority w:val="0"/>
    <w:pPr>
      <w:spacing w:after="160" w:line="259" w:lineRule="auto"/>
    </w:pPr>
    <w:rPr>
      <w:rFonts w:asciiTheme="minorHAnsi" w:hAnsiTheme="minorHAnsi" w:eastAsiaTheme="minorEastAsia" w:cstheme="minorBidi"/>
      <w:sz w:val="22"/>
      <w:szCs w:val="22"/>
      <w:lang w:val="id-ID" w:eastAsia="id-ID" w:bidi="ar-SA"/>
    </w:rPr>
  </w:style>
  <w:style w:type="paragraph" w:customStyle="1" w:styleId="6">
    <w:name w:val="CA8E38EA676C4D90B58A2328B45D7959"/>
    <w:uiPriority w:val="0"/>
    <w:pPr>
      <w:spacing w:after="160" w:line="259" w:lineRule="auto"/>
    </w:pPr>
    <w:rPr>
      <w:rFonts w:asciiTheme="minorHAnsi" w:hAnsiTheme="minorHAnsi" w:eastAsiaTheme="minorEastAsia" w:cstheme="minorBidi"/>
      <w:sz w:val="22"/>
      <w:szCs w:val="22"/>
      <w:lang w:val="id-ID" w:eastAsia="id-ID" w:bidi="ar-SA"/>
    </w:rPr>
  </w:style>
</w:style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Info spid="_x0000_s103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E1E1679-007F-429B-8973-3973D4840332}">
  <ds:schemaRefs/>
</ds:datastoreItem>
</file>

<file path=docProps/app.xml><?xml version="1.0" encoding="utf-8"?>
<Properties xmlns="http://schemas.openxmlformats.org/officeDocument/2006/extended-properties" xmlns:vt="http://schemas.openxmlformats.org/officeDocument/2006/docPropsVTypes">
  <Template>Normal</Template>
  <Pages>23</Pages>
  <Words>6069</Words>
  <Characters>34595</Characters>
  <Lines>288</Lines>
  <Paragraphs>81</Paragraphs>
  <TotalTime>12</TotalTime>
  <ScaleCrop>false</ScaleCrop>
  <LinksUpToDate>false</LinksUpToDate>
  <CharactersWithSpaces>40583</CharactersWithSpaces>
  <Application>WPS Office_11.2.0.8991_F1E327BC-269C-435d-A152-05C5408002CA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2018-03-09T08:14:00Z</dcterms:created>
  <dc:creator>Windows User</dc:creator>
  <cp:lastModifiedBy>LENOVO</cp:lastModifiedBy>
  <cp:lastPrinted>2019-10-24T06:17:00Z</cp:lastPrinted>
  <dcterms:modified xsi:type="dcterms:W3CDTF">2019-10-25T07:32:27Z</dcterms:modified>
  <dc:title>Perubahan Renstra Biro AP2BMD Tahun 2016-2021</dc:title>
  <cp:revision>247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1057-11.2.0.8991</vt:lpwstr>
  </property>
</Properties>
</file>